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532" w:rsidRDefault="00190532" w:rsidP="00190532">
      <w:pPr>
        <w:ind w:firstLine="0"/>
        <w:jc w:val="center"/>
        <w:rPr>
          <w:b/>
        </w:rPr>
      </w:pPr>
      <w:r w:rsidRPr="00824B01">
        <w:rPr>
          <w:b/>
        </w:rPr>
        <w:t>З А П О В Е Д</w:t>
      </w:r>
    </w:p>
    <w:p w:rsidR="00190532" w:rsidRPr="00824B01" w:rsidRDefault="00190532" w:rsidP="00190532">
      <w:pPr>
        <w:ind w:right="-1"/>
        <w:jc w:val="both"/>
        <w:rPr>
          <w:b/>
          <w:caps/>
        </w:rPr>
      </w:pPr>
      <w:r>
        <w:rPr>
          <w:bCs/>
          <w:lang w:bidi="bg-BG"/>
        </w:rPr>
        <w:t xml:space="preserve">На основание </w:t>
      </w:r>
      <w:r w:rsidRPr="001825A6">
        <w:rPr>
          <w:bCs/>
          <w:lang w:bidi="bg-BG"/>
        </w:rPr>
        <w:t xml:space="preserve">чл. 26, ал. </w:t>
      </w:r>
      <w:r>
        <w:rPr>
          <w:bCs/>
          <w:lang w:bidi="bg-BG"/>
        </w:rPr>
        <w:t xml:space="preserve">1 </w:t>
      </w:r>
      <w:r w:rsidRPr="001825A6">
        <w:rPr>
          <w:bCs/>
          <w:lang w:bidi="bg-BG"/>
        </w:rPr>
        <w:t>от ЗУСЕФСУ</w:t>
      </w:r>
      <w:r>
        <w:rPr>
          <w:bCs/>
          <w:lang w:bidi="bg-BG"/>
        </w:rPr>
        <w:t xml:space="preserve">, </w:t>
      </w:r>
      <w:r w:rsidRPr="00824B01">
        <w:rPr>
          <w:bCs/>
        </w:rPr>
        <w:t xml:space="preserve">във </w:t>
      </w:r>
      <w:r w:rsidRPr="00481F5A">
        <w:rPr>
          <w:bCs/>
        </w:rPr>
        <w:t xml:space="preserve">връзка със </w:t>
      </w:r>
      <w:r w:rsidRPr="00FF122A">
        <w:rPr>
          <w:bCs/>
        </w:rPr>
        <w:t>Заповед № РД-02-14-2972 от 31.12.2024 г</w:t>
      </w:r>
      <w:r>
        <w:rPr>
          <w:bCs/>
          <w:lang w:val="en-US"/>
        </w:rPr>
        <w:t>.</w:t>
      </w:r>
      <w:r w:rsidRPr="00481F5A">
        <w:rPr>
          <w:bCs/>
        </w:rPr>
        <w:t xml:space="preserve"> за утв</w:t>
      </w:r>
      <w:r>
        <w:rPr>
          <w:bCs/>
        </w:rPr>
        <w:t>ърждаване на Насоки за кандидатстване, във връзка със Заповед № РД-02-14-471/</w:t>
      </w:r>
      <w:r w:rsidRPr="003F6706">
        <w:rPr>
          <w:bCs/>
        </w:rPr>
        <w:t>10.03.2025</w:t>
      </w:r>
      <w:r>
        <w:rPr>
          <w:bCs/>
        </w:rPr>
        <w:t xml:space="preserve"> </w:t>
      </w:r>
      <w:r w:rsidRPr="003F6706">
        <w:rPr>
          <w:bCs/>
        </w:rPr>
        <w:t>г.</w:t>
      </w:r>
      <w:r>
        <w:rPr>
          <w:bCs/>
        </w:rPr>
        <w:t xml:space="preserve"> </w:t>
      </w:r>
      <w:r w:rsidR="00754E15">
        <w:rPr>
          <w:bCs/>
        </w:rPr>
        <w:t xml:space="preserve">и </w:t>
      </w:r>
      <w:r w:rsidR="00754E15" w:rsidRPr="00754E15">
        <w:rPr>
          <w:bCs/>
        </w:rPr>
        <w:t>Заповед № РД-02-14-1400 от 10.07.2025 г.</w:t>
      </w:r>
      <w:r w:rsidR="00754E15">
        <w:rPr>
          <w:bCs/>
        </w:rPr>
        <w:t xml:space="preserve"> </w:t>
      </w:r>
      <w:r>
        <w:rPr>
          <w:bCs/>
        </w:rPr>
        <w:t>за изменен</w:t>
      </w:r>
      <w:r w:rsidR="00074926">
        <w:rPr>
          <w:bCs/>
        </w:rPr>
        <w:t xml:space="preserve">ие на Насоки за кандидатстване </w:t>
      </w:r>
      <w:r w:rsidRPr="0023796F">
        <w:rPr>
          <w:bCs/>
          <w:lang w:bidi="bg-BG"/>
        </w:rPr>
        <w:t xml:space="preserve">и във връзка с процедура чрез директно предоставяне на безвъзмездна финансова помощ </w:t>
      </w:r>
      <w:r w:rsidRPr="00CF2932">
        <w:rPr>
          <w:bCs/>
          <w:lang w:bidi="bg-BG"/>
        </w:rPr>
        <w:t>BG16FFPR003-1.001 „Подкрепа за интегрирано градско развитие в 10-те градски общини – основни центрове на растеж“</w:t>
      </w:r>
      <w:r>
        <w:rPr>
          <w:bCs/>
          <w:lang w:bidi="bg-BG"/>
        </w:rPr>
        <w:t xml:space="preserve"> </w:t>
      </w:r>
      <w:r w:rsidRPr="0023796F">
        <w:rPr>
          <w:bCs/>
          <w:lang w:bidi="bg-BG"/>
        </w:rPr>
        <w:t>на Програма „Развитие на регионите“ 2021-2027 г. (ПРР 2021-2027)</w:t>
      </w:r>
    </w:p>
    <w:p w:rsidR="00190532" w:rsidRPr="00824B01" w:rsidRDefault="00190532" w:rsidP="00190532">
      <w:pPr>
        <w:ind w:right="357"/>
        <w:jc w:val="center"/>
        <w:rPr>
          <w:b/>
          <w:caps/>
          <w:spacing w:val="40"/>
        </w:rPr>
      </w:pPr>
    </w:p>
    <w:p w:rsidR="00190532" w:rsidRDefault="00190532" w:rsidP="00190532">
      <w:pPr>
        <w:ind w:right="357" w:firstLine="0"/>
        <w:jc w:val="center"/>
        <w:rPr>
          <w:b/>
          <w:caps/>
          <w:spacing w:val="40"/>
        </w:rPr>
      </w:pPr>
      <w:r>
        <w:rPr>
          <w:b/>
          <w:caps/>
          <w:spacing w:val="40"/>
        </w:rPr>
        <w:t>НАРЕЖДАМ:</w:t>
      </w:r>
    </w:p>
    <w:p w:rsidR="00662849" w:rsidRPr="00662849" w:rsidRDefault="00190532" w:rsidP="00662849">
      <w:pPr>
        <w:jc w:val="both"/>
      </w:pPr>
      <w:r>
        <w:t xml:space="preserve">1. </w:t>
      </w:r>
      <w:r w:rsidR="00B23FF0">
        <w:t>Да се актуализират</w:t>
      </w:r>
      <w:r w:rsidR="00662849">
        <w:t xml:space="preserve"> </w:t>
      </w:r>
      <w:r w:rsidR="00662849" w:rsidRPr="00662849">
        <w:rPr>
          <w:bCs/>
        </w:rPr>
        <w:t>Насоки</w:t>
      </w:r>
      <w:r w:rsidR="00662849">
        <w:rPr>
          <w:bCs/>
        </w:rPr>
        <w:t>те</w:t>
      </w:r>
      <w:r w:rsidR="00662849" w:rsidRPr="00662849">
        <w:rPr>
          <w:bCs/>
        </w:rPr>
        <w:t xml:space="preserve"> за кандидатстване по процедура чрез директно предоставяне на безвъзмездна финансова помощ BG16FFPR003-1.001 „Подкрепа за интегрирано градско развитие в 10-те градски общини – основни центрове на растеж“, на Програма „Развитие на регионите” 2021-2027 г., както следва</w:t>
      </w:r>
      <w:r w:rsidR="00662849">
        <w:rPr>
          <w:bCs/>
        </w:rPr>
        <w:t>:</w:t>
      </w:r>
    </w:p>
    <w:p w:rsidR="00190532" w:rsidRPr="00662849" w:rsidRDefault="00662849" w:rsidP="00662849">
      <w:pPr>
        <w:pStyle w:val="ListParagraph"/>
        <w:numPr>
          <w:ilvl w:val="0"/>
          <w:numId w:val="5"/>
        </w:numPr>
        <w:spacing w:line="360" w:lineRule="auto"/>
        <w:ind w:left="0" w:firstLine="1211"/>
        <w:jc w:val="both"/>
        <w:rPr>
          <w:rFonts w:ascii="Times New Roman" w:hAnsi="Times New Roman"/>
          <w:bCs/>
          <w:sz w:val="24"/>
          <w:szCs w:val="24"/>
        </w:rPr>
      </w:pPr>
      <w:r>
        <w:rPr>
          <w:rFonts w:ascii="Times New Roman" w:hAnsi="Times New Roman"/>
          <w:sz w:val="24"/>
          <w:szCs w:val="24"/>
        </w:rPr>
        <w:t xml:space="preserve">В </w:t>
      </w:r>
      <w:r w:rsidR="00190532" w:rsidRPr="00662849">
        <w:rPr>
          <w:rFonts w:ascii="Times New Roman" w:hAnsi="Times New Roman"/>
          <w:sz w:val="24"/>
          <w:szCs w:val="24"/>
        </w:rPr>
        <w:t>т. 23 „Краен срок за подаване на проектните предложения</w:t>
      </w:r>
      <w:r>
        <w:rPr>
          <w:rFonts w:ascii="Times New Roman" w:hAnsi="Times New Roman"/>
          <w:sz w:val="24"/>
          <w:szCs w:val="24"/>
        </w:rPr>
        <w:t>“</w:t>
      </w:r>
      <w:r>
        <w:rPr>
          <w:rFonts w:ascii="Times New Roman" w:hAnsi="Times New Roman"/>
          <w:bCs/>
          <w:sz w:val="24"/>
          <w:szCs w:val="24"/>
        </w:rPr>
        <w:t xml:space="preserve">, </w:t>
      </w:r>
      <w:r w:rsidR="00006058" w:rsidRPr="00662849">
        <w:rPr>
          <w:rFonts w:ascii="Times New Roman" w:hAnsi="Times New Roman"/>
          <w:bCs/>
          <w:sz w:val="24"/>
          <w:szCs w:val="24"/>
        </w:rPr>
        <w:t>с</w:t>
      </w:r>
      <w:r w:rsidR="00190532" w:rsidRPr="00662849">
        <w:rPr>
          <w:rFonts w:ascii="Times New Roman" w:hAnsi="Times New Roman"/>
          <w:bCs/>
          <w:sz w:val="24"/>
          <w:szCs w:val="24"/>
        </w:rPr>
        <w:t xml:space="preserve">лед абзац „Важно“ се добавя </w:t>
      </w:r>
      <w:r>
        <w:rPr>
          <w:rFonts w:ascii="Times New Roman" w:hAnsi="Times New Roman"/>
          <w:bCs/>
          <w:sz w:val="24"/>
          <w:szCs w:val="24"/>
        </w:rPr>
        <w:t>следният текст</w:t>
      </w:r>
      <w:r w:rsidR="00190532" w:rsidRPr="00662849">
        <w:rPr>
          <w:rFonts w:ascii="Times New Roman" w:hAnsi="Times New Roman"/>
          <w:bCs/>
          <w:sz w:val="24"/>
          <w:szCs w:val="24"/>
        </w:rPr>
        <w:t xml:space="preserve">: </w:t>
      </w:r>
    </w:p>
    <w:p w:rsidR="00190532" w:rsidRPr="006026A7" w:rsidRDefault="00190532" w:rsidP="00190532">
      <w:pPr>
        <w:jc w:val="both"/>
        <w:rPr>
          <w:bCs/>
        </w:rPr>
      </w:pPr>
      <w:r>
        <w:rPr>
          <w:bCs/>
        </w:rPr>
        <w:t>„</w:t>
      </w:r>
      <w:r w:rsidRPr="006026A7">
        <w:rPr>
          <w:bCs/>
        </w:rPr>
        <w:t xml:space="preserve">УО обявява нов краен срок за подаване на проектни предложения по процедурата </w:t>
      </w:r>
      <w:r w:rsidRPr="00F675BC">
        <w:rPr>
          <w:bCs/>
        </w:rPr>
        <w:t xml:space="preserve">– </w:t>
      </w:r>
      <w:r w:rsidR="00E02D48" w:rsidRPr="00E02D48">
        <w:rPr>
          <w:bCs/>
        </w:rPr>
        <w:t>01</w:t>
      </w:r>
      <w:r w:rsidRPr="00E02D48">
        <w:rPr>
          <w:bCs/>
        </w:rPr>
        <w:t>.</w:t>
      </w:r>
      <w:r w:rsidR="005A0783" w:rsidRPr="00E02D48">
        <w:rPr>
          <w:bCs/>
        </w:rPr>
        <w:t>0</w:t>
      </w:r>
      <w:r w:rsidR="00E02D48" w:rsidRPr="00E02D48">
        <w:rPr>
          <w:bCs/>
        </w:rPr>
        <w:t>7</w:t>
      </w:r>
      <w:r w:rsidR="00F675BC" w:rsidRPr="00E02D48">
        <w:rPr>
          <w:bCs/>
        </w:rPr>
        <w:t>.</w:t>
      </w:r>
      <w:r w:rsidR="005A0783" w:rsidRPr="00E02D48">
        <w:rPr>
          <w:bCs/>
        </w:rPr>
        <w:t>2026</w:t>
      </w:r>
      <w:r w:rsidRPr="00E02D48">
        <w:rPr>
          <w:bCs/>
        </w:rPr>
        <w:t xml:space="preserve"> г., 1</w:t>
      </w:r>
      <w:r w:rsidR="00F675BC" w:rsidRPr="00E02D48">
        <w:rPr>
          <w:bCs/>
        </w:rPr>
        <w:t>7</w:t>
      </w:r>
      <w:r w:rsidRPr="00E02D48">
        <w:rPr>
          <w:bCs/>
        </w:rPr>
        <w:t>:00 ч.</w:t>
      </w:r>
    </w:p>
    <w:p w:rsidR="00190532" w:rsidRDefault="00190532" w:rsidP="00190532">
      <w:pPr>
        <w:jc w:val="both"/>
        <w:rPr>
          <w:bCs/>
        </w:rPr>
      </w:pPr>
      <w:r w:rsidRPr="006026A7">
        <w:rPr>
          <w:bCs/>
        </w:rPr>
        <w:t>В рамките на новия срок за кандидатстване</w:t>
      </w:r>
      <w:r w:rsidR="00006058">
        <w:rPr>
          <w:bCs/>
        </w:rPr>
        <w:t>,</w:t>
      </w:r>
      <w:r w:rsidRPr="006026A7">
        <w:rPr>
          <w:bCs/>
        </w:rPr>
        <w:t xml:space="preserve"> проектни предложения могат да подават кандидати</w:t>
      </w:r>
      <w:r w:rsidR="00F675BC">
        <w:rPr>
          <w:bCs/>
        </w:rPr>
        <w:t>те</w:t>
      </w:r>
      <w:r w:rsidRPr="006026A7">
        <w:rPr>
          <w:bCs/>
        </w:rPr>
        <w:t xml:space="preserve"> от резервни</w:t>
      </w:r>
      <w:r w:rsidR="00E43789">
        <w:rPr>
          <w:bCs/>
        </w:rPr>
        <w:t>те списъци</w:t>
      </w:r>
      <w:r w:rsidRPr="006026A7">
        <w:rPr>
          <w:bCs/>
        </w:rPr>
        <w:t xml:space="preserve"> с проектни идеи на Столична </w:t>
      </w:r>
      <w:r>
        <w:rPr>
          <w:bCs/>
        </w:rPr>
        <w:t>община</w:t>
      </w:r>
      <w:r w:rsidR="00845CA8">
        <w:rPr>
          <w:bCs/>
        </w:rPr>
        <w:t xml:space="preserve"> и община Благоевград</w:t>
      </w:r>
      <w:r>
        <w:rPr>
          <w:bCs/>
        </w:rPr>
        <w:t xml:space="preserve">, отбелязани в </w:t>
      </w:r>
      <w:r w:rsidR="005A0783">
        <w:rPr>
          <w:bCs/>
        </w:rPr>
        <w:t>оранжев</w:t>
      </w:r>
      <w:r>
        <w:rPr>
          <w:bCs/>
        </w:rPr>
        <w:t xml:space="preserve"> цвят“.</w:t>
      </w:r>
    </w:p>
    <w:p w:rsidR="00A33A9A" w:rsidRPr="00662849" w:rsidRDefault="00875251" w:rsidP="00662849">
      <w:pPr>
        <w:pStyle w:val="ListParagraph"/>
        <w:numPr>
          <w:ilvl w:val="0"/>
          <w:numId w:val="5"/>
        </w:numPr>
        <w:jc w:val="both"/>
        <w:rPr>
          <w:rFonts w:ascii="Times New Roman" w:hAnsi="Times New Roman"/>
          <w:bCs/>
          <w:sz w:val="24"/>
          <w:szCs w:val="24"/>
        </w:rPr>
      </w:pPr>
      <w:r>
        <w:rPr>
          <w:rFonts w:ascii="Times New Roman" w:hAnsi="Times New Roman"/>
          <w:bCs/>
          <w:sz w:val="24"/>
          <w:szCs w:val="24"/>
        </w:rPr>
        <w:t xml:space="preserve">Текстът в </w:t>
      </w:r>
      <w:r w:rsidR="00A33A9A" w:rsidRPr="00662849">
        <w:rPr>
          <w:rFonts w:ascii="Times New Roman" w:hAnsi="Times New Roman"/>
          <w:bCs/>
          <w:sz w:val="24"/>
          <w:szCs w:val="24"/>
        </w:rPr>
        <w:t>т. 16.6</w:t>
      </w:r>
      <w:r>
        <w:rPr>
          <w:rFonts w:ascii="Times New Roman" w:hAnsi="Times New Roman"/>
          <w:bCs/>
          <w:sz w:val="24"/>
          <w:szCs w:val="24"/>
        </w:rPr>
        <w:t xml:space="preserve"> „Образователна инфраструктура“</w:t>
      </w:r>
      <w:r w:rsidR="0075312F">
        <w:rPr>
          <w:rFonts w:ascii="Times New Roman" w:hAnsi="Times New Roman"/>
          <w:bCs/>
          <w:sz w:val="24"/>
          <w:szCs w:val="24"/>
        </w:rPr>
        <w:t xml:space="preserve"> се изменя на</w:t>
      </w:r>
      <w:r w:rsidR="00A33A9A" w:rsidRPr="00662849">
        <w:rPr>
          <w:rFonts w:ascii="Times New Roman" w:hAnsi="Times New Roman"/>
          <w:bCs/>
          <w:sz w:val="24"/>
          <w:szCs w:val="24"/>
        </w:rPr>
        <w:t>:</w:t>
      </w:r>
    </w:p>
    <w:p w:rsidR="00A33A9A" w:rsidRPr="00A33A9A" w:rsidRDefault="004E7FAC" w:rsidP="00A33A9A">
      <w:pPr>
        <w:tabs>
          <w:tab w:val="num" w:pos="851"/>
        </w:tabs>
        <w:jc w:val="both"/>
        <w:rPr>
          <w:b/>
          <w:bCs/>
          <w:i/>
        </w:rPr>
      </w:pPr>
      <w:r>
        <w:rPr>
          <w:b/>
          <w:bCs/>
          <w:i/>
        </w:rPr>
        <w:t>„</w:t>
      </w:r>
      <w:r w:rsidR="00A33A9A" w:rsidRPr="00A33A9A">
        <w:rPr>
          <w:b/>
          <w:bCs/>
          <w:i/>
        </w:rPr>
        <w:t>16.6.1. Приложим режим в случай на образователна инфраструктура за ранно детско развитие, предучилищно и училищно образование</w:t>
      </w:r>
    </w:p>
    <w:p w:rsidR="00A33A9A" w:rsidRPr="00A33A9A" w:rsidRDefault="00A33A9A" w:rsidP="00A33A9A">
      <w:pPr>
        <w:jc w:val="both"/>
        <w:rPr>
          <w:bCs/>
        </w:rPr>
      </w:pPr>
      <w:r w:rsidRPr="00A33A9A">
        <w:rPr>
          <w:bCs/>
        </w:rPr>
        <w:t xml:space="preserve">За общинска и държавна образователна инфраструктура, вкл. ученически общежития и училищни автобуси ще бъде прилаган </w:t>
      </w:r>
      <w:r w:rsidRPr="00A33A9A">
        <w:rPr>
          <w:b/>
          <w:bCs/>
          <w:u w:val="single"/>
        </w:rPr>
        <w:t>режим „</w:t>
      </w:r>
      <w:proofErr w:type="spellStart"/>
      <w:r w:rsidRPr="00A33A9A">
        <w:rPr>
          <w:b/>
          <w:bCs/>
          <w:u w:val="single"/>
        </w:rPr>
        <w:t>непомощ</w:t>
      </w:r>
      <w:proofErr w:type="spellEnd"/>
      <w:r w:rsidRPr="00A33A9A">
        <w:rPr>
          <w:b/>
          <w:bCs/>
          <w:u w:val="single"/>
        </w:rPr>
        <w:t>“</w:t>
      </w:r>
      <w:r w:rsidRPr="00A33A9A">
        <w:rPr>
          <w:bCs/>
        </w:rPr>
        <w:t>. Към образователната инфраструктура за целите на ПРР се причисляват и детските ясли като инфраструктура за ранно детско развитие.</w:t>
      </w:r>
    </w:p>
    <w:p w:rsidR="00A33A9A" w:rsidRPr="00A33A9A" w:rsidRDefault="00A33A9A" w:rsidP="00A33A9A">
      <w:pPr>
        <w:jc w:val="both"/>
        <w:rPr>
          <w:bCs/>
        </w:rPr>
      </w:pPr>
      <w:r w:rsidRPr="00A33A9A">
        <w:rPr>
          <w:bCs/>
        </w:rPr>
        <w:lastRenderedPageBreak/>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 (в съответствие с т. 2.5 от Известието на Европейската комисия относно понятието за държавна помощ по чл. 107, параграф 1 ДФЕС (2016/C 262/01). 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w:t>
      </w:r>
    </w:p>
    <w:p w:rsidR="00A33A9A" w:rsidRPr="00A33A9A" w:rsidRDefault="00A33A9A" w:rsidP="00A33A9A">
      <w:pPr>
        <w:jc w:val="both"/>
        <w:rPr>
          <w:bCs/>
        </w:rPr>
      </w:pPr>
      <w:r w:rsidRPr="00A33A9A">
        <w:rPr>
          <w:bCs/>
        </w:rPr>
        <w:t xml:space="preserve">Съгласно Закона за предучилищното и училищното образование (ЗПУО) институциите в системата на предучилищното и училищното образование са детските градини, училищата, центровете за подкрепа за личностно развитие и специализираните обслужващи звена, като съгласно чл. 9 на ЗПУО всеки има право на образование, а правото на безплатно образование се упражнява, като не се заплащат такси за обучението, осигурявано със средства от държавния бюджет, и се ползва безплатно материалната база за обучение и за развитие на интересите и способностите на децата и учениците. </w:t>
      </w:r>
    </w:p>
    <w:p w:rsidR="00A33A9A" w:rsidRPr="00A33A9A" w:rsidRDefault="00A33A9A" w:rsidP="00A33A9A">
      <w:pPr>
        <w:jc w:val="both"/>
        <w:rPr>
          <w:bCs/>
        </w:rPr>
      </w:pPr>
      <w:r w:rsidRPr="00A33A9A">
        <w:rPr>
          <w:b/>
          <w:bCs/>
        </w:rPr>
        <w:t>Ученическите общежития</w:t>
      </w:r>
      <w:r w:rsidRPr="00A33A9A">
        <w:rPr>
          <w:bCs/>
        </w:rPr>
        <w:t xml:space="preserve"> представляват неразделна част от системата на училищното и предучилищното образование, предвид, че са част от общата подкрепа за личностно развитие, осигурявана от институциите в системата на предучилищното и училищното образование (чл. 178 от ЗПУО). </w:t>
      </w:r>
    </w:p>
    <w:p w:rsidR="00A33A9A" w:rsidRPr="00A33A9A" w:rsidRDefault="00A33A9A" w:rsidP="00A33A9A">
      <w:pPr>
        <w:jc w:val="both"/>
        <w:rPr>
          <w:bCs/>
        </w:rPr>
      </w:pPr>
      <w:r w:rsidRPr="00A33A9A">
        <w:rPr>
          <w:bCs/>
        </w:rPr>
        <w:t xml:space="preserve">Съгласно чл. 283, ал. 1 от ЗПУО средствата за подпомагане на равния достъп и за подкрепа за личностно развитие включват и средства за транспорт. Освен това чл. 56, ал. 1 от ЗПУО постановява организирането на безплатен транспорт за децата и учениците при условията на закона. Следователно </w:t>
      </w:r>
      <w:r w:rsidRPr="00A33A9A">
        <w:rPr>
          <w:b/>
          <w:bCs/>
        </w:rPr>
        <w:t>училищните автобуси</w:t>
      </w:r>
      <w:r w:rsidRPr="00A33A9A">
        <w:rPr>
          <w:bCs/>
        </w:rPr>
        <w:t xml:space="preserve"> също могат да се приемат за неразделна част от обществената образователна система, финансирана и контролирана от държавата.</w:t>
      </w:r>
    </w:p>
    <w:p w:rsidR="00A33A9A" w:rsidRPr="00A33A9A" w:rsidRDefault="00A33A9A" w:rsidP="00A33A9A">
      <w:pPr>
        <w:jc w:val="both"/>
        <w:rPr>
          <w:bCs/>
        </w:rPr>
      </w:pPr>
      <w:r w:rsidRPr="00A33A9A">
        <w:rPr>
          <w:bCs/>
        </w:rPr>
        <w:lastRenderedPageBreak/>
        <w:t>С оглед на горепосоченото за финансираните по настоящата процедура инфраструктура и оборудване, използвани в рамките на системата на предучилищното и училищното образование, не представляват държавна помощ.</w:t>
      </w:r>
    </w:p>
    <w:p w:rsidR="00A33A9A" w:rsidRPr="00A33A9A" w:rsidRDefault="00A33A9A" w:rsidP="00A33A9A">
      <w:pPr>
        <w:jc w:val="both"/>
        <w:rPr>
          <w:bCs/>
        </w:rPr>
      </w:pPr>
      <w:r w:rsidRPr="00A33A9A">
        <w:rPr>
          <w:bCs/>
        </w:rPr>
        <w:t xml:space="preserve">Към образователната инфраструктура за целите на ПРР се причисляват и </w:t>
      </w:r>
      <w:r w:rsidRPr="00A33A9A">
        <w:rPr>
          <w:b/>
          <w:bCs/>
        </w:rPr>
        <w:t>детските ясли</w:t>
      </w:r>
      <w:r w:rsidRPr="00A33A9A">
        <w:rPr>
          <w:bCs/>
        </w:rPr>
        <w:t xml:space="preserve"> като инфраструктура за ранно детско развитие. По отношение на детските ясли следва да се има предвид следното: Съгласно Закона за здравето държавата и общините провеждат политика за опазване и укрепване на здравето като обществено благо. В изпълнение на тази политика, по реда на Наредба № 26 от 18.11.2008 г. за устройството и дейността на детските ясли и детските кухни, детските ясли осъществяват медицинско обслужване, профилактика и здравен контрол върху децата в ранна възраст и се създават и финансират от общините като част от публичните им функции по Закона за местното самоуправление и местната администрация. Дейността им е строго регламентирана, финансирана основно от общинските бюджети по реда на Закона за публичните финанси, като събираните такси имат характер на частично участие в разходите и не са пазарно определени. С оглед на това детските ясли осъществяват публична здравно-социална дейност с неикономически характери за тях също е приложим режим „</w:t>
      </w:r>
      <w:proofErr w:type="spellStart"/>
      <w:r w:rsidRPr="00A33A9A">
        <w:rPr>
          <w:bCs/>
        </w:rPr>
        <w:t>непомощ</w:t>
      </w:r>
      <w:proofErr w:type="spellEnd"/>
      <w:r w:rsidRPr="00A33A9A">
        <w:rPr>
          <w:bCs/>
        </w:rPr>
        <w:t>“.</w:t>
      </w:r>
    </w:p>
    <w:p w:rsidR="00A33A9A" w:rsidRPr="00A33A9A" w:rsidRDefault="00A33A9A" w:rsidP="00A33A9A">
      <w:pPr>
        <w:tabs>
          <w:tab w:val="num" w:pos="851"/>
        </w:tabs>
        <w:jc w:val="both"/>
        <w:rPr>
          <w:b/>
          <w:bCs/>
          <w:i/>
        </w:rPr>
      </w:pPr>
      <w:r w:rsidRPr="00A33A9A">
        <w:rPr>
          <w:b/>
          <w:bCs/>
          <w:i/>
        </w:rPr>
        <w:t>16.6.2. Приложим режим в случай на образователна инфраструктура за висше образование</w:t>
      </w:r>
    </w:p>
    <w:p w:rsidR="00A33A9A" w:rsidRPr="00A33A9A" w:rsidRDefault="00A33A9A" w:rsidP="00A33A9A">
      <w:pPr>
        <w:jc w:val="both"/>
        <w:rPr>
          <w:bCs/>
        </w:rPr>
      </w:pPr>
      <w:r w:rsidRPr="00A33A9A">
        <w:rPr>
          <w:bCs/>
        </w:rPr>
        <w:t xml:space="preserve">По отношение на висшето образование се прилага същата логика (както за предучилищното и училищното образование в т. 16.6.1, доколкото държавните висши училища се създават и осъществяват дейността си въз основа на предоставена държавна собственост и трансфери от държавния бюджет, както е посочено в чл. 13, ал.1 от Закона за висшето образование. </w:t>
      </w:r>
    </w:p>
    <w:p w:rsidR="00A33A9A" w:rsidRPr="00A33A9A" w:rsidRDefault="00A33A9A" w:rsidP="00A33A9A">
      <w:pPr>
        <w:jc w:val="both"/>
        <w:rPr>
          <w:bCs/>
        </w:rPr>
      </w:pPr>
      <w:r w:rsidRPr="00A33A9A">
        <w:rPr>
          <w:bCs/>
        </w:rPr>
        <w:t xml:space="preserve">Същевременно, наред с образователната функция, която изпълняват, висшите училища имат и други функции, често с икономически характер. Съгласно т. 207 от Известието на Европейската комисия относно понятието за държавна помощ по чл. 107, параграф 1 ДФЕС (2016/C 262/01), ако в случаи на смесено използване инфраструктурата е използвана почти изключително за нестопанска дейност, Комисията счита, че нейното финансиране може да попадне изцяло извън правилата за държавни помощи, при условие че стопанското използване остава само спомагателно, т.е. дейност, която е пряко </w:t>
      </w:r>
      <w:r w:rsidRPr="00A33A9A">
        <w:rPr>
          <w:bCs/>
        </w:rPr>
        <w:lastRenderedPageBreak/>
        <w:t xml:space="preserve">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w:t>
      </w:r>
    </w:p>
    <w:p w:rsidR="00A33A9A" w:rsidRPr="00A33A9A" w:rsidRDefault="00A33A9A" w:rsidP="00A33A9A">
      <w:pPr>
        <w:jc w:val="both"/>
        <w:rPr>
          <w:bCs/>
        </w:rPr>
      </w:pPr>
      <w:r w:rsidRPr="00A33A9A">
        <w:rPr>
          <w:bCs/>
        </w:rPr>
        <w:t xml:space="preserve">В тази връзка е възможно в обектите на интервенция по настоящата процедура да има помещения, в които се осъществява както основната образователна дейност, така и допълнителна стопанска дейност, и/или помещения, в които се извършва единствено стопанска дейност. </w:t>
      </w:r>
    </w:p>
    <w:p w:rsidR="00A33A9A" w:rsidRPr="00A33A9A" w:rsidRDefault="00A33A9A" w:rsidP="00A33A9A">
      <w:pPr>
        <w:jc w:val="both"/>
        <w:rPr>
          <w:bCs/>
          <w:lang w:bidi="bg-BG"/>
        </w:rPr>
      </w:pPr>
      <w:r w:rsidRPr="00A33A9A">
        <w:rPr>
          <w:bCs/>
          <w:lang w:bidi="bg-BG"/>
        </w:rPr>
        <w:t xml:space="preserve">Когато в инфраструктурата, предмет на интервенция по настоящата процедура, има </w:t>
      </w:r>
      <w:r w:rsidRPr="00A33A9A">
        <w:rPr>
          <w:b/>
          <w:bCs/>
          <w:lang w:bidi="bg-BG"/>
        </w:rPr>
        <w:t>помещения/части от сградата, ползвани единствено по стопански начин</w:t>
      </w:r>
      <w:r w:rsidRPr="00A33A9A">
        <w:rPr>
          <w:bCs/>
          <w:lang w:bidi="bg-BG"/>
        </w:rPr>
        <w:t xml:space="preserve">, мерките, които ще се финансират с безвъзмездна финансова помощ, следва да са насочени към общото подобряване на инфраструктурата /външни ремонти/ без да се подпомага директно осъществяването на стопанска дейност. Такива допустими дейности, които не представляват държавна помощ, са например ремонти на фасадата, мерките за енергийна ефективност и други подобни, които не се реализират вътре в помещения/части от сградата, в които се извършва стопанска дейност, но са необходими за цялостното й обновяване. </w:t>
      </w:r>
    </w:p>
    <w:p w:rsidR="00A33A9A" w:rsidRPr="00A33A9A" w:rsidRDefault="00A33A9A" w:rsidP="00A33A9A">
      <w:pPr>
        <w:jc w:val="both"/>
        <w:rPr>
          <w:bCs/>
          <w:lang w:val="en-US"/>
        </w:rPr>
      </w:pPr>
      <w:r w:rsidRPr="00A33A9A">
        <w:rPr>
          <w:bCs/>
          <w:lang w:bidi="bg-BG"/>
        </w:rPr>
        <w:t xml:space="preserve">В случай на помещения, в които </w:t>
      </w:r>
      <w:r w:rsidRPr="00A33A9A">
        <w:rPr>
          <w:b/>
          <w:bCs/>
        </w:rPr>
        <w:t xml:space="preserve">едновременно с основната им </w:t>
      </w:r>
      <w:r w:rsidRPr="00A33A9A">
        <w:rPr>
          <w:b/>
          <w:bCs/>
          <w:lang w:bidi="bg-BG"/>
        </w:rPr>
        <w:t>образователна</w:t>
      </w:r>
      <w:r w:rsidRPr="00A33A9A">
        <w:rPr>
          <w:b/>
          <w:bCs/>
        </w:rPr>
        <w:t xml:space="preserve"> функция</w:t>
      </w:r>
      <w:r w:rsidRPr="00A33A9A">
        <w:rPr>
          <w:b/>
          <w:bCs/>
          <w:lang w:bidi="bg-BG"/>
        </w:rPr>
        <w:t xml:space="preserve"> се извършват и странични дейности с икономически характер </w:t>
      </w:r>
      <w:r w:rsidRPr="00A33A9A">
        <w:rPr>
          <w:bCs/>
          <w:lang w:bidi="bg-BG"/>
        </w:rPr>
        <w:t>и</w:t>
      </w:r>
      <w:r w:rsidRPr="00A33A9A">
        <w:rPr>
          <w:b/>
          <w:bCs/>
          <w:lang w:bidi="bg-BG"/>
        </w:rPr>
        <w:t xml:space="preserve"> </w:t>
      </w:r>
      <w:r w:rsidRPr="00A33A9A">
        <w:rPr>
          <w:bCs/>
          <w:lang w:bidi="bg-BG"/>
        </w:rPr>
        <w:t xml:space="preserve">за двете дейности се употребяват едни и същи ресурси (оборудване, труд и постоянен капитал), то финансирането им не би нарушило правилата в областта на държавните помощи, при условие, че </w:t>
      </w:r>
      <w:r w:rsidRPr="00A33A9A">
        <w:rPr>
          <w:b/>
          <w:bCs/>
          <w:lang w:bidi="bg-BG"/>
        </w:rPr>
        <w:t>не повече от 20% от капацитета на помещенията се използва по стопански начин.</w:t>
      </w:r>
      <w:r w:rsidRPr="00A33A9A">
        <w:rPr>
          <w:bCs/>
          <w:lang w:bidi="bg-BG"/>
        </w:rPr>
        <w:t xml:space="preserve"> </w:t>
      </w:r>
      <w:r w:rsidRPr="00A33A9A">
        <w:rPr>
          <w:bCs/>
        </w:rPr>
        <w:t>В тези случаи бенефициентът е длъжен да осигури функционално и счетоводно разделяне на дейностите и да гарантира, че не е налице кръстосано субсидиране.</w:t>
      </w:r>
      <w:r w:rsidRPr="00A33A9A">
        <w:rPr>
          <w:bCs/>
          <w:lang w:val="en-US"/>
        </w:rPr>
        <w:t xml:space="preserve"> </w:t>
      </w:r>
      <w:r w:rsidRPr="00A33A9A">
        <w:rPr>
          <w:b/>
          <w:bCs/>
          <w:lang w:bidi="bg-BG"/>
        </w:rPr>
        <w:t>За целите на настоящата процедура се приема, че 20% от капацитета на съответното помещение представлява 20% от времето</w:t>
      </w:r>
      <w:r w:rsidRPr="00A33A9A">
        <w:rPr>
          <w:bCs/>
          <w:lang w:bidi="bg-BG"/>
        </w:rPr>
        <w:t>, през което то се използва.</w:t>
      </w:r>
    </w:p>
    <w:p w:rsidR="00A33A9A" w:rsidRPr="00A33A9A" w:rsidRDefault="00A33A9A" w:rsidP="00A33A9A">
      <w:pPr>
        <w:jc w:val="both"/>
        <w:rPr>
          <w:bCs/>
          <w:lang w:bidi="bg-BG"/>
        </w:rPr>
      </w:pPr>
      <w:r w:rsidRPr="00A33A9A">
        <w:rPr>
          <w:b/>
          <w:bCs/>
          <w:lang w:bidi="bg-BG"/>
        </w:rPr>
        <w:t>С оглед на гореизложеното б</w:t>
      </w:r>
      <w:r w:rsidRPr="00A33A9A">
        <w:rPr>
          <w:bCs/>
          <w:lang w:bidi="bg-BG"/>
        </w:rPr>
        <w:t>енефициентите по настоящата процедура, с подаване на проектното си предложение, следва да представят и декларация (съгласно Приложение 4.8), с която да декларират следното:</w:t>
      </w:r>
    </w:p>
    <w:p w:rsidR="00A33A9A" w:rsidRPr="00A33A9A" w:rsidRDefault="00A33A9A" w:rsidP="00A33A9A">
      <w:pPr>
        <w:numPr>
          <w:ilvl w:val="0"/>
          <w:numId w:val="2"/>
        </w:numPr>
        <w:jc w:val="both"/>
        <w:rPr>
          <w:bCs/>
          <w:lang w:bidi="bg-BG"/>
        </w:rPr>
      </w:pPr>
      <w:r w:rsidRPr="00A33A9A">
        <w:rPr>
          <w:bCs/>
          <w:lang w:bidi="bg-BG"/>
        </w:rPr>
        <w:lastRenderedPageBreak/>
        <w:t>в инфраструктурата, обект на интервенции, се осъществяват едновременно стопанска и нестопанска дейност и двата вида дейности са ясно разграничени по отношение на приходите, разходите, активите и пасивите, свързани с тях, включително чрез система за водене на аналитична счетоводна отчетност, чрез която се отделя стопанската от нестопанската дейност на висшето училище;</w:t>
      </w:r>
    </w:p>
    <w:p w:rsidR="00A33A9A" w:rsidRPr="00A33A9A" w:rsidRDefault="00A33A9A" w:rsidP="00A33A9A">
      <w:pPr>
        <w:numPr>
          <w:ilvl w:val="0"/>
          <w:numId w:val="2"/>
        </w:numPr>
        <w:jc w:val="both"/>
        <w:rPr>
          <w:bCs/>
          <w:lang w:bidi="bg-BG"/>
        </w:rPr>
      </w:pPr>
      <w:r w:rsidRPr="00A33A9A">
        <w:rPr>
          <w:bCs/>
          <w:lang w:bidi="bg-BG"/>
        </w:rPr>
        <w:t>има ли помещения/части от сграда, обект на интервенции по проекта, в които се изпълнява изцяло стопанска дейност и кои са те;</w:t>
      </w:r>
    </w:p>
    <w:p w:rsidR="00A33A9A" w:rsidRPr="00A33A9A" w:rsidRDefault="00A33A9A" w:rsidP="00A33A9A">
      <w:pPr>
        <w:numPr>
          <w:ilvl w:val="0"/>
          <w:numId w:val="2"/>
        </w:numPr>
        <w:jc w:val="both"/>
        <w:rPr>
          <w:bCs/>
          <w:lang w:bidi="bg-BG"/>
        </w:rPr>
      </w:pPr>
      <w:r w:rsidRPr="00A33A9A">
        <w:rPr>
          <w:bCs/>
          <w:lang w:bidi="bg-BG"/>
        </w:rPr>
        <w:t>има ли помещения/части от сграда, обект на интервенции по проекта, в които се осъществява както основната образователна дейност, така и стопанска дейност, за която се употребяват същите ресурси, които са необходими за нестопанската дейност, и кои са тези помещения/части;</w:t>
      </w:r>
    </w:p>
    <w:p w:rsidR="00A33A9A" w:rsidRPr="00A33A9A" w:rsidRDefault="00A33A9A" w:rsidP="00A33A9A">
      <w:pPr>
        <w:numPr>
          <w:ilvl w:val="0"/>
          <w:numId w:val="2"/>
        </w:numPr>
        <w:jc w:val="both"/>
        <w:rPr>
          <w:bCs/>
          <w:lang w:bidi="bg-BG"/>
        </w:rPr>
      </w:pPr>
      <w:r w:rsidRPr="00A33A9A">
        <w:rPr>
          <w:bCs/>
          <w:lang w:bidi="bg-BG"/>
        </w:rPr>
        <w:t>безвъзмездната финансова помощ, за която кандидатства съответното висше училище и която ще бъде предоставена по настоящата процедура, ще бъде използвана само за финансиране на инфраструктура, в/с която не се осъществява стопанска дейност или ако по изключение се осъществява стопанска дейност то е налице едновременното изпълнение на следните условия:</w:t>
      </w:r>
    </w:p>
    <w:p w:rsidR="00A33A9A" w:rsidRPr="00A33A9A" w:rsidRDefault="00A33A9A" w:rsidP="00A33A9A">
      <w:pPr>
        <w:numPr>
          <w:ilvl w:val="0"/>
          <w:numId w:val="3"/>
        </w:numPr>
        <w:jc w:val="both"/>
        <w:rPr>
          <w:bCs/>
          <w:lang w:bidi="bg-BG"/>
        </w:rPr>
      </w:pPr>
      <w:r w:rsidRPr="00A33A9A">
        <w:rPr>
          <w:bCs/>
          <w:lang w:bidi="bg-BG"/>
        </w:rPr>
        <w:t xml:space="preserve">стопанската дейност е с чисто допълващ характер, т.е. тя е пряко свързана и необходима за функционирането на научноизследователската организацията или инфраструктура или е неразривно свързана с нейното основно нестопанско използване;  </w:t>
      </w:r>
    </w:p>
    <w:p w:rsidR="00A33A9A" w:rsidRPr="00A33A9A" w:rsidRDefault="00A33A9A" w:rsidP="00A33A9A">
      <w:pPr>
        <w:numPr>
          <w:ilvl w:val="0"/>
          <w:numId w:val="3"/>
        </w:numPr>
        <w:jc w:val="both"/>
        <w:rPr>
          <w:bCs/>
          <w:lang w:bidi="bg-BG"/>
        </w:rPr>
      </w:pPr>
      <w:r w:rsidRPr="00A33A9A">
        <w:rPr>
          <w:bCs/>
          <w:lang w:bidi="bg-BG"/>
        </w:rPr>
        <w:t>стопанската дейност потребява същите ресурси (като материали, оборудване, труд и постоянен капитал) като нестопанските дейности и капацитетът, отпускан всяка година за тези дейности, не надвишава 20 % от съответния общ годишен капацитет на субекта (инфраструктурата).</w:t>
      </w:r>
    </w:p>
    <w:p w:rsidR="00A33A9A" w:rsidRPr="00A33A9A" w:rsidRDefault="00A33A9A" w:rsidP="00A33A9A">
      <w:pPr>
        <w:jc w:val="both"/>
        <w:rPr>
          <w:bCs/>
          <w:lang w:bidi="bg-BG"/>
        </w:rPr>
      </w:pPr>
      <w:r w:rsidRPr="00A33A9A">
        <w:rPr>
          <w:bCs/>
          <w:lang w:bidi="bg-BG"/>
        </w:rPr>
        <w:t>В подкрепа на декларираните данни кандидатът следва да представи Счетоводната политика, годишен финансов отчет, включително оповестяванията (пояснителни бележки) и/или справка/и от аналитичните счетоводни ведомости, от които да са видни възможността за и надлежното разграничение на двата вида дейности по отношение на приходите, разходите, активите и пасивите, свързани с тях.</w:t>
      </w:r>
    </w:p>
    <w:p w:rsidR="00A33A9A" w:rsidRPr="00A33A9A" w:rsidRDefault="00A33A9A" w:rsidP="00A33A9A">
      <w:pPr>
        <w:jc w:val="both"/>
        <w:rPr>
          <w:bCs/>
          <w:lang w:bidi="bg-BG"/>
        </w:rPr>
      </w:pPr>
      <w:r w:rsidRPr="00A33A9A">
        <w:rPr>
          <w:bCs/>
          <w:lang w:bidi="bg-BG"/>
        </w:rPr>
        <w:lastRenderedPageBreak/>
        <w:t>При описанието на дейностите във формуляра за кандидатстване кандидатът следва да обоснове неикономическия характер на дейностите, които обслужва подпомаганата инфраструктура или изпълнението на условието, че стопанската дейност е с чисто допълващ характер или е неразривно свързана с основното нестопанско използване на инфраструктурата, че потребява същите ресурси (като материали, оборудване, труд и постоянен капитал) като нестопанските дейности и че капацитетът, отпускан всяка година за въпросната стопанска дейност, не надвишава 20 % от съответния общ годишен капацитет на инфраструктурата.</w:t>
      </w:r>
    </w:p>
    <w:tbl>
      <w:tblPr>
        <w:tblStyle w:val="TableGrid"/>
        <w:tblW w:w="0" w:type="auto"/>
        <w:shd w:val="pct12" w:color="auto" w:fill="auto"/>
        <w:tblLook w:val="04A0" w:firstRow="1" w:lastRow="0" w:firstColumn="1" w:lastColumn="0" w:noHBand="0" w:noVBand="1"/>
      </w:tblPr>
      <w:tblGrid>
        <w:gridCol w:w="9061"/>
      </w:tblGrid>
      <w:tr w:rsidR="00A33A9A" w:rsidRPr="00A33A9A" w:rsidTr="000511D7">
        <w:tc>
          <w:tcPr>
            <w:tcW w:w="9630" w:type="dxa"/>
            <w:shd w:val="pct12" w:color="auto" w:fill="auto"/>
          </w:tcPr>
          <w:p w:rsidR="00A33A9A" w:rsidRPr="00A33A9A" w:rsidRDefault="00A33A9A" w:rsidP="00A33A9A">
            <w:pPr>
              <w:jc w:val="both"/>
              <w:rPr>
                <w:b/>
                <w:bCs/>
                <w:i/>
                <w:u w:val="single"/>
                <w:lang w:val="en-US"/>
              </w:rPr>
            </w:pPr>
            <w:r w:rsidRPr="00A33A9A">
              <w:rPr>
                <w:b/>
                <w:bCs/>
                <w:i/>
                <w:u w:val="single"/>
              </w:rPr>
              <w:t>ВАЖНО!</w:t>
            </w:r>
            <w:r w:rsidRPr="00A33A9A">
              <w:rPr>
                <w:b/>
                <w:bCs/>
                <w:i/>
                <w:u w:val="single"/>
                <w:lang w:val="en-US"/>
              </w:rPr>
              <w:t>!!</w:t>
            </w:r>
          </w:p>
          <w:p w:rsidR="00A33A9A" w:rsidRPr="00A33A9A" w:rsidRDefault="00A33A9A" w:rsidP="00A33A9A">
            <w:pPr>
              <w:jc w:val="both"/>
              <w:rPr>
                <w:b/>
                <w:bCs/>
              </w:rPr>
            </w:pPr>
            <w:r w:rsidRPr="00A33A9A">
              <w:rPr>
                <w:b/>
                <w:bCs/>
              </w:rPr>
              <w:t>С оглед гарантиране на съответствие с правилата в областта на държавните помощи, декларираните на етапа на кандидатстване данни по отношението на наличието/липсата на стопанска дейност следва да останат в сила през целия определен за счетоводни цели полезен живот на финансираната инфраструктура/активи, за което бенефициентът поема съответен ангажимент.</w:t>
            </w:r>
          </w:p>
          <w:p w:rsidR="00A33A9A" w:rsidRPr="00A33A9A" w:rsidRDefault="00A33A9A" w:rsidP="00A33A9A">
            <w:pPr>
              <w:jc w:val="both"/>
              <w:rPr>
                <w:b/>
                <w:bCs/>
                <w:lang w:bidi="bg-BG"/>
              </w:rPr>
            </w:pPr>
            <w:r w:rsidRPr="00A33A9A">
              <w:rPr>
                <w:b/>
                <w:bCs/>
              </w:rPr>
              <w:t xml:space="preserve">В случай че на етапа на кандидатстване инфраструктурата е използвана само за нестопански дейности, но в рамките на полезния живот на активите този факт се промени, бенефициентът се задължава да осигури надлежно разграничение </w:t>
            </w:r>
            <w:r w:rsidRPr="00A33A9A">
              <w:rPr>
                <w:b/>
                <w:bCs/>
                <w:lang w:bidi="bg-BG"/>
              </w:rPr>
              <w:t xml:space="preserve">на двата вида дейности по отношение на приходите, разходите, активите и пасивите, свързани с тях. </w:t>
            </w:r>
          </w:p>
          <w:p w:rsidR="00A33A9A" w:rsidRPr="00A33A9A" w:rsidRDefault="00A33A9A" w:rsidP="00A33A9A">
            <w:pPr>
              <w:jc w:val="both"/>
              <w:rPr>
                <w:b/>
                <w:bCs/>
                <w:lang w:bidi="bg-BG"/>
              </w:rPr>
            </w:pPr>
            <w:r w:rsidRPr="00A33A9A">
              <w:rPr>
                <w:b/>
                <w:bCs/>
                <w:lang w:bidi="bg-BG"/>
              </w:rPr>
              <w:t xml:space="preserve">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A33A9A" w:rsidRPr="00A33A9A" w:rsidRDefault="00A33A9A" w:rsidP="00A33A9A">
            <w:pPr>
              <w:jc w:val="both"/>
              <w:rPr>
                <w:b/>
                <w:bCs/>
                <w:lang w:bidi="bg-BG"/>
              </w:rPr>
            </w:pPr>
            <w:r w:rsidRPr="00A33A9A">
              <w:rPr>
                <w:b/>
                <w:bCs/>
                <w:lang w:bidi="bg-BG"/>
              </w:rPr>
              <w:t>Управляващият орган ще проверява изпълнението горепосочените условия, както на етапа на кандидатстване, така и на етапа на изпълнение и в периода на устойчивост на проектите.</w:t>
            </w:r>
          </w:p>
          <w:p w:rsidR="00A33A9A" w:rsidRPr="00A33A9A" w:rsidRDefault="00A33A9A" w:rsidP="00A33A9A">
            <w:pPr>
              <w:jc w:val="both"/>
              <w:rPr>
                <w:b/>
                <w:bCs/>
                <w:lang w:bidi="bg-BG"/>
              </w:rPr>
            </w:pPr>
            <w:r w:rsidRPr="00A33A9A">
              <w:rPr>
                <w:b/>
                <w:bCs/>
                <w:lang w:bidi="bg-BG"/>
              </w:rPr>
              <w:t xml:space="preserve">В случай че при осъществяването на последващ контрол се установи превишение на 20-те % стопанска дейност от съответния общ годишен капацитет </w:t>
            </w:r>
            <w:r w:rsidRPr="00A33A9A">
              <w:rPr>
                <w:b/>
                <w:bCs/>
                <w:lang w:bidi="bg-BG"/>
              </w:rPr>
              <w:lastRenderedPageBreak/>
              <w:t>на инфраструктурата, бенефициентът ще трябва да възстанови неправомерно получената помощ съобразно процента на превишението</w:t>
            </w:r>
            <w:r w:rsidRPr="00A33A9A">
              <w:rPr>
                <w:b/>
                <w:bCs/>
                <w:lang w:val="en-US"/>
              </w:rPr>
              <w:t xml:space="preserve">. </w:t>
            </w:r>
            <w:r w:rsidRPr="00A33A9A">
              <w:rPr>
                <w:b/>
                <w:bCs/>
                <w:lang w:bidi="bg-BG"/>
              </w:rPr>
              <w:t>Дължимата за връщане сума се изчислява по следната формула:</w:t>
            </w:r>
          </w:p>
          <w:p w:rsidR="00A33A9A" w:rsidRPr="00A33A9A" w:rsidRDefault="00A33A9A" w:rsidP="00A33A9A">
            <w:pPr>
              <w:jc w:val="both"/>
              <w:rPr>
                <w:b/>
                <w:bCs/>
                <w:lang w:bidi="bg-BG"/>
              </w:rPr>
            </w:pPr>
            <w:r w:rsidRPr="00A33A9A">
              <w:rPr>
                <w:b/>
                <w:bCs/>
                <w:lang w:val="en-US"/>
              </w:rPr>
              <w:t>R</w:t>
            </w:r>
            <w:r w:rsidRPr="00A33A9A">
              <w:rPr>
                <w:b/>
                <w:bCs/>
                <w:lang w:bidi="bg-BG"/>
              </w:rPr>
              <w:t xml:space="preserve"> </w:t>
            </w:r>
            <w:r w:rsidRPr="00A33A9A">
              <w:rPr>
                <w:b/>
                <w:bCs/>
                <w:lang w:val="en-US"/>
              </w:rPr>
              <w:t>=</w:t>
            </w:r>
            <w:r w:rsidRPr="00A33A9A">
              <w:rPr>
                <w:b/>
                <w:bCs/>
                <w:lang w:bidi="bg-BG"/>
              </w:rPr>
              <w:t xml:space="preserve"> </w:t>
            </w:r>
            <w:r w:rsidRPr="00A33A9A">
              <w:rPr>
                <w:b/>
                <w:bCs/>
                <w:lang w:val="en-US"/>
              </w:rPr>
              <w:t>50%</w:t>
            </w:r>
            <w:r w:rsidRPr="00A33A9A">
              <w:rPr>
                <w:b/>
                <w:bCs/>
                <w:lang w:bidi="bg-BG"/>
              </w:rPr>
              <w:t xml:space="preserve"> </w:t>
            </w:r>
            <w:r w:rsidRPr="00A33A9A">
              <w:rPr>
                <w:b/>
                <w:bCs/>
                <w:lang w:val="en-US"/>
              </w:rPr>
              <w:t>x</w:t>
            </w:r>
            <w:r w:rsidRPr="00A33A9A">
              <w:rPr>
                <w:b/>
                <w:bCs/>
                <w:lang w:bidi="bg-BG"/>
              </w:rPr>
              <w:t xml:space="preserve"> </w:t>
            </w:r>
            <w:r w:rsidRPr="00A33A9A">
              <w:rPr>
                <w:b/>
                <w:bCs/>
                <w:lang w:val="en-US"/>
              </w:rPr>
              <w:t>Y%</w:t>
            </w:r>
            <w:r w:rsidRPr="00A33A9A">
              <w:rPr>
                <w:b/>
                <w:bCs/>
                <w:lang w:bidi="bg-BG"/>
              </w:rPr>
              <w:t xml:space="preserve"> </w:t>
            </w:r>
            <w:r w:rsidRPr="00A33A9A">
              <w:rPr>
                <w:b/>
                <w:bCs/>
                <w:lang w:val="en-US"/>
              </w:rPr>
              <w:t>x</w:t>
            </w:r>
            <w:r w:rsidRPr="00A33A9A">
              <w:rPr>
                <w:b/>
                <w:bCs/>
                <w:lang w:bidi="bg-BG"/>
              </w:rPr>
              <w:t xml:space="preserve"> </w:t>
            </w:r>
            <w:r w:rsidRPr="00A33A9A">
              <w:rPr>
                <w:b/>
                <w:bCs/>
                <w:lang w:val="en-US"/>
              </w:rPr>
              <w:t>A</w:t>
            </w:r>
            <w:r w:rsidRPr="00A33A9A">
              <w:rPr>
                <w:b/>
                <w:bCs/>
                <w:lang w:bidi="bg-BG"/>
              </w:rPr>
              <w:t>, където</w:t>
            </w:r>
          </w:p>
          <w:p w:rsidR="00A33A9A" w:rsidRPr="00A33A9A" w:rsidRDefault="00A33A9A" w:rsidP="00A33A9A">
            <w:pPr>
              <w:jc w:val="both"/>
              <w:rPr>
                <w:b/>
                <w:bCs/>
                <w:lang w:bidi="bg-BG"/>
              </w:rPr>
            </w:pPr>
            <w:r w:rsidRPr="00A33A9A">
              <w:rPr>
                <w:b/>
                <w:bCs/>
                <w:lang w:val="en-US"/>
              </w:rPr>
              <w:t>R</w:t>
            </w:r>
            <w:r w:rsidRPr="00A33A9A">
              <w:rPr>
                <w:b/>
                <w:bCs/>
                <w:lang w:bidi="bg-BG"/>
              </w:rPr>
              <w:t xml:space="preserve"> </w:t>
            </w:r>
            <w:r w:rsidRPr="00A33A9A">
              <w:rPr>
                <w:b/>
                <w:bCs/>
                <w:lang w:val="en-US"/>
              </w:rPr>
              <w:t>=</w:t>
            </w:r>
            <w:r w:rsidRPr="00A33A9A">
              <w:rPr>
                <w:b/>
                <w:bCs/>
                <w:lang w:bidi="bg-BG"/>
              </w:rPr>
              <w:t xml:space="preserve"> дължима за възстановяване сума;</w:t>
            </w:r>
          </w:p>
          <w:p w:rsidR="00A33A9A" w:rsidRPr="00A33A9A" w:rsidRDefault="00A33A9A" w:rsidP="00A33A9A">
            <w:pPr>
              <w:jc w:val="both"/>
              <w:rPr>
                <w:b/>
                <w:bCs/>
                <w:lang w:bidi="bg-BG"/>
              </w:rPr>
            </w:pPr>
            <w:r w:rsidRPr="00A33A9A">
              <w:rPr>
                <w:b/>
                <w:bCs/>
                <w:lang w:val="en-US"/>
              </w:rPr>
              <w:t>Y%</w:t>
            </w:r>
            <w:r w:rsidRPr="00A33A9A">
              <w:rPr>
                <w:b/>
                <w:bCs/>
                <w:lang w:bidi="bg-BG"/>
              </w:rPr>
              <w:t xml:space="preserve"> </w:t>
            </w:r>
            <w:r w:rsidRPr="00A33A9A">
              <w:rPr>
                <w:b/>
                <w:bCs/>
                <w:lang w:val="en-US"/>
              </w:rPr>
              <w:t>=</w:t>
            </w:r>
            <w:r w:rsidRPr="00A33A9A">
              <w:rPr>
                <w:b/>
                <w:bCs/>
                <w:lang w:bidi="bg-BG"/>
              </w:rPr>
              <w:t xml:space="preserve"> ангажираният за стопанска дейност годишен капацитет на помещението, в което е надвишен допустимия за стопански дейности капацитет (20%);</w:t>
            </w:r>
          </w:p>
          <w:p w:rsidR="00A33A9A" w:rsidRPr="00A33A9A" w:rsidRDefault="00A33A9A" w:rsidP="00875251">
            <w:pPr>
              <w:jc w:val="both"/>
              <w:rPr>
                <w:bCs/>
              </w:rPr>
            </w:pPr>
            <w:r w:rsidRPr="00A33A9A">
              <w:rPr>
                <w:b/>
                <w:bCs/>
                <w:lang w:bidi="bg-BG"/>
              </w:rPr>
              <w:t xml:space="preserve">А </w:t>
            </w:r>
            <w:r w:rsidRPr="00A33A9A">
              <w:rPr>
                <w:b/>
                <w:bCs/>
                <w:lang w:val="en-US"/>
              </w:rPr>
              <w:t>=</w:t>
            </w:r>
            <w:r w:rsidRPr="00A33A9A">
              <w:rPr>
                <w:b/>
                <w:bCs/>
                <w:lang w:bidi="bg-BG"/>
              </w:rPr>
              <w:t xml:space="preserve"> сумата на безвъзмездната финансова помощ, отпусната за всички помещения със смесено ползване.</w:t>
            </w:r>
          </w:p>
        </w:tc>
      </w:tr>
    </w:tbl>
    <w:p w:rsidR="00A33A9A" w:rsidRPr="00A33A9A" w:rsidRDefault="00A33A9A" w:rsidP="00A33A9A">
      <w:pPr>
        <w:jc w:val="both"/>
        <w:rPr>
          <w:bCs/>
        </w:rPr>
      </w:pPr>
    </w:p>
    <w:p w:rsidR="00A33A9A" w:rsidRPr="00A33A9A" w:rsidRDefault="00A33A9A" w:rsidP="00A33A9A">
      <w:pPr>
        <w:tabs>
          <w:tab w:val="num" w:pos="851"/>
        </w:tabs>
        <w:jc w:val="both"/>
        <w:rPr>
          <w:b/>
          <w:bCs/>
          <w:i/>
        </w:rPr>
      </w:pPr>
      <w:r w:rsidRPr="00A33A9A">
        <w:rPr>
          <w:b/>
          <w:bCs/>
          <w:i/>
        </w:rPr>
        <w:t>16.2.2. Режим на Минимална помощ (помощ „</w:t>
      </w:r>
      <w:proofErr w:type="spellStart"/>
      <w:r w:rsidRPr="00A33A9A">
        <w:rPr>
          <w:b/>
          <w:bCs/>
          <w:i/>
        </w:rPr>
        <w:t>de</w:t>
      </w:r>
      <w:proofErr w:type="spellEnd"/>
      <w:r w:rsidRPr="00A33A9A">
        <w:rPr>
          <w:b/>
          <w:bCs/>
          <w:i/>
        </w:rPr>
        <w:t xml:space="preserve"> </w:t>
      </w:r>
      <w:proofErr w:type="spellStart"/>
      <w:r w:rsidRPr="00A33A9A">
        <w:rPr>
          <w:b/>
          <w:bCs/>
          <w:i/>
        </w:rPr>
        <w:t>minimis</w:t>
      </w:r>
      <w:proofErr w:type="spellEnd"/>
      <w:r w:rsidRPr="00A33A9A">
        <w:rPr>
          <w:b/>
          <w:bCs/>
          <w:i/>
        </w:rPr>
        <w:t xml:space="preserve">”) </w:t>
      </w:r>
    </w:p>
    <w:p w:rsidR="00A33A9A" w:rsidRDefault="00A33A9A" w:rsidP="00875251">
      <w:pPr>
        <w:jc w:val="both"/>
        <w:rPr>
          <w:bCs/>
        </w:rPr>
      </w:pPr>
      <w:r w:rsidRPr="00A33A9A">
        <w:rPr>
          <w:bCs/>
        </w:rPr>
        <w:t xml:space="preserve">Този режим се прилага съгласно условията, описани в </w:t>
      </w:r>
      <w:r w:rsidRPr="00A33A9A">
        <w:rPr>
          <w:b/>
          <w:bCs/>
        </w:rPr>
        <w:t>Приложение 5 „Условия за предоставяне на минимални помощи в съответствие с Регламент (ЕС) 2023/2831“, неразделна част от настоящите Насоки</w:t>
      </w:r>
      <w:r w:rsidRPr="00A33A9A">
        <w:rPr>
          <w:bCs/>
        </w:rPr>
        <w:t>. Режимът е приложим по отношение на субекти в сферата на образованието, които извършват делими стопански дейности извън обхвата на образователната услуга в рамките на националната образовател</w:t>
      </w:r>
      <w:bookmarkStart w:id="0" w:name="_GoBack"/>
      <w:bookmarkEnd w:id="0"/>
      <w:r w:rsidRPr="00A33A9A">
        <w:rPr>
          <w:bCs/>
        </w:rPr>
        <w:t>на система, т.е. за допълнителни/самостоятелни/отделни икономически дейности</w:t>
      </w:r>
      <w:r w:rsidR="00875251">
        <w:rPr>
          <w:bCs/>
        </w:rPr>
        <w:t>“</w:t>
      </w:r>
      <w:r w:rsidRPr="00A33A9A">
        <w:rPr>
          <w:bCs/>
        </w:rPr>
        <w:t>.</w:t>
      </w:r>
    </w:p>
    <w:p w:rsidR="00190532" w:rsidRDefault="00190532" w:rsidP="00190532">
      <w:pPr>
        <w:jc w:val="both"/>
        <w:rPr>
          <w:bCs/>
        </w:rPr>
      </w:pPr>
      <w:r>
        <w:rPr>
          <w:bCs/>
        </w:rPr>
        <w:t>2. Допълвам</w:t>
      </w:r>
      <w:r w:rsidRPr="00E8718B">
        <w:rPr>
          <w:bCs/>
        </w:rPr>
        <w:t xml:space="preserve"> Приложение № 2 „Допустими бенефициенти“ по процедура чрез директно предоставяне на безвъзмездна финансова помощ BG16FFPR003-1.001 „Подкрепа за интегрирано градско развитие в 10-те градски общини – основни центрове на растеж</w:t>
      </w:r>
      <w:r>
        <w:rPr>
          <w:bCs/>
        </w:rPr>
        <w:t xml:space="preserve">“, като с </w:t>
      </w:r>
      <w:r w:rsidR="005A0783">
        <w:rPr>
          <w:bCs/>
        </w:rPr>
        <w:t>оранжев</w:t>
      </w:r>
      <w:r>
        <w:rPr>
          <w:bCs/>
        </w:rPr>
        <w:t xml:space="preserve"> цвят са отбеля</w:t>
      </w:r>
      <w:r w:rsidR="00325662">
        <w:rPr>
          <w:bCs/>
        </w:rPr>
        <w:t>зани проектни идеи от резервните списъци</w:t>
      </w:r>
      <w:r>
        <w:rPr>
          <w:bCs/>
        </w:rPr>
        <w:t xml:space="preserve"> на Столична община</w:t>
      </w:r>
      <w:r w:rsidR="007D3540">
        <w:rPr>
          <w:bCs/>
        </w:rPr>
        <w:t xml:space="preserve"> и на община Благоевград</w:t>
      </w:r>
      <w:r w:rsidR="00F675BC">
        <w:rPr>
          <w:bCs/>
        </w:rPr>
        <w:t>, за които е наличен финансов ресурс за подаване на проектни предложения</w:t>
      </w:r>
      <w:r>
        <w:rPr>
          <w:bCs/>
        </w:rPr>
        <w:t>.</w:t>
      </w:r>
    </w:p>
    <w:p w:rsidR="00746841" w:rsidRDefault="00746841" w:rsidP="00190532">
      <w:pPr>
        <w:jc w:val="both"/>
        <w:rPr>
          <w:bCs/>
        </w:rPr>
      </w:pPr>
      <w:r>
        <w:rPr>
          <w:bCs/>
        </w:rPr>
        <w:t>3. Съз</w:t>
      </w:r>
      <w:r w:rsidR="00E3770F">
        <w:rPr>
          <w:bCs/>
        </w:rPr>
        <w:t>дадено е ново Приложение № 4.8 „</w:t>
      </w:r>
      <w:r>
        <w:rPr>
          <w:bCs/>
        </w:rPr>
        <w:t>Декларация висши училища</w:t>
      </w:r>
      <w:r w:rsidR="00194AE8">
        <w:rPr>
          <w:bCs/>
        </w:rPr>
        <w:t>“</w:t>
      </w:r>
      <w:r>
        <w:rPr>
          <w:bCs/>
        </w:rPr>
        <w:t xml:space="preserve"> към насоките за кандидатстване.</w:t>
      </w:r>
    </w:p>
    <w:p w:rsidR="00746841" w:rsidRPr="00824B01" w:rsidRDefault="00746841" w:rsidP="00746841">
      <w:pPr>
        <w:ind w:firstLine="0"/>
        <w:jc w:val="both"/>
        <w:rPr>
          <w:lang w:bidi="bg-BG"/>
        </w:rPr>
        <w:sectPr w:rsidR="00746841" w:rsidRPr="00824B01" w:rsidSect="00290410">
          <w:headerReference w:type="default" r:id="rId8"/>
          <w:footerReference w:type="default" r:id="rId9"/>
          <w:headerReference w:type="first" r:id="rId10"/>
          <w:pgSz w:w="11906" w:h="16838" w:code="9"/>
          <w:pgMar w:top="426" w:right="1134" w:bottom="567" w:left="1701" w:header="709" w:footer="567" w:gutter="0"/>
          <w:pgNumType w:start="1"/>
          <w:cols w:space="708"/>
          <w:titlePg/>
          <w:docGrid w:linePitch="360"/>
        </w:sectPr>
      </w:pPr>
    </w:p>
    <w:p w:rsidR="00190532" w:rsidRPr="00190532" w:rsidRDefault="00190532" w:rsidP="00190532">
      <w:pPr>
        <w:jc w:val="both"/>
      </w:pPr>
      <w:r w:rsidRPr="00824B01">
        <w:lastRenderedPageBreak/>
        <w:t>Д</w:t>
      </w:r>
      <w:r w:rsidR="00746841">
        <w:t xml:space="preserve">окументите по т. 1, т. </w:t>
      </w:r>
      <w:r>
        <w:t>2</w:t>
      </w:r>
      <w:r w:rsidR="00746841">
        <w:t xml:space="preserve"> и т. 3</w:t>
      </w:r>
      <w:r>
        <w:t>, в</w:t>
      </w:r>
      <w:r w:rsidRPr="00824B01">
        <w:t>едно с настоящата заповед, да се публикуват в Информационната система за управление и наблюдение на средствата от ЕФСУ – ИСУН  (</w:t>
      </w:r>
      <w:hyperlink r:id="rId11" w:history="1">
        <w:r w:rsidRPr="00824B01">
          <w:rPr>
            <w:rStyle w:val="Hyperlink"/>
          </w:rPr>
          <w:t>https://umis2020.government.bg/login</w:t>
        </w:r>
      </w:hyperlink>
      <w:r w:rsidRPr="00824B01">
        <w:t>), на Единния информационен портал (</w:t>
      </w:r>
      <w:hyperlink r:id="rId12" w:history="1">
        <w:r w:rsidRPr="00824B01">
          <w:rPr>
            <w:rStyle w:val="Hyperlink"/>
          </w:rPr>
          <w:t>www.eufunds.bg</w:t>
        </w:r>
      </w:hyperlink>
      <w:r w:rsidRPr="00824B01">
        <w:t xml:space="preserve">), на интернет страницата на ПРР 2021-2027 – </w:t>
      </w:r>
      <w:hyperlink r:id="rId13" w:history="1">
        <w:r w:rsidRPr="00824B01">
          <w:t>www.bgregio.eu</w:t>
        </w:r>
      </w:hyperlink>
      <w:r w:rsidRPr="00824B01">
        <w:t xml:space="preserve">. </w:t>
      </w:r>
    </w:p>
    <w:p w:rsidR="00190532" w:rsidRDefault="00190532" w:rsidP="00190532">
      <w:pPr>
        <w:ind w:firstLine="709"/>
        <w:jc w:val="both"/>
        <w:rPr>
          <w:b/>
          <w:lang w:bidi="bg-BG"/>
        </w:rPr>
      </w:pPr>
      <w:r w:rsidRPr="006C231B">
        <w:rPr>
          <w:lang w:bidi="bg-BG"/>
        </w:rPr>
        <w:t>Контрол по изпълнение на заповедта възлагам на г-жа Ася Станкова – главен директор на Главна дирекция „Стратегическо планиране и п</w:t>
      </w:r>
      <w:r>
        <w:rPr>
          <w:lang w:bidi="bg-BG"/>
        </w:rPr>
        <w:t>рограми за регионално развитие”.</w:t>
      </w:r>
    </w:p>
    <w:p w:rsidR="00190532" w:rsidRDefault="00190532" w:rsidP="00190532">
      <w:pPr>
        <w:ind w:firstLine="709"/>
        <w:jc w:val="both"/>
        <w:rPr>
          <w:bCs/>
        </w:rPr>
      </w:pPr>
      <w:r w:rsidRPr="00824B01">
        <w:rPr>
          <w:b/>
          <w:lang w:bidi="bg-BG"/>
        </w:rPr>
        <w:t>ПРИЛОЖЕНИЯ:</w:t>
      </w:r>
      <w:r w:rsidRPr="006C231B">
        <w:rPr>
          <w:bCs/>
        </w:rPr>
        <w:t xml:space="preserve"> </w:t>
      </w:r>
      <w:r>
        <w:rPr>
          <w:bCs/>
        </w:rPr>
        <w:t xml:space="preserve">Актуализирани </w:t>
      </w:r>
      <w:r w:rsidRPr="00824B01">
        <w:rPr>
          <w:bCs/>
        </w:rPr>
        <w:t>Насоки за кандидатстване</w:t>
      </w:r>
      <w:r w:rsidR="00E3770F">
        <w:rPr>
          <w:bCs/>
        </w:rPr>
        <w:t xml:space="preserve">, </w:t>
      </w:r>
      <w:r w:rsidRPr="00E87754">
        <w:rPr>
          <w:bCs/>
        </w:rPr>
        <w:t>Приложен</w:t>
      </w:r>
      <w:r>
        <w:rPr>
          <w:bCs/>
        </w:rPr>
        <w:t xml:space="preserve">ие № 2 „Допустими бенефициенти“ </w:t>
      </w:r>
      <w:r w:rsidR="00E3770F">
        <w:rPr>
          <w:bCs/>
        </w:rPr>
        <w:t xml:space="preserve">и </w:t>
      </w:r>
      <w:r w:rsidR="00220630">
        <w:rPr>
          <w:bCs/>
        </w:rPr>
        <w:t xml:space="preserve">ново </w:t>
      </w:r>
      <w:r w:rsidR="00E3770F">
        <w:rPr>
          <w:bCs/>
        </w:rPr>
        <w:t>Приложение 4.8 „</w:t>
      </w:r>
      <w:r w:rsidR="00E3770F" w:rsidRPr="00E3770F">
        <w:rPr>
          <w:bCs/>
        </w:rPr>
        <w:t>Декларация висши училища</w:t>
      </w:r>
      <w:r w:rsidR="00E3770F">
        <w:rPr>
          <w:bCs/>
        </w:rPr>
        <w:t xml:space="preserve">“ </w:t>
      </w:r>
      <w:r>
        <w:rPr>
          <w:bCs/>
        </w:rPr>
        <w:t xml:space="preserve">към тях по </w:t>
      </w:r>
      <w:r w:rsidRPr="00824B01">
        <w:rPr>
          <w:bCs/>
        </w:rPr>
        <w:t xml:space="preserve">процедура чрез директно предоставяне на безвъзмездна финансова помощ </w:t>
      </w:r>
      <w:r w:rsidRPr="004426B4">
        <w:rPr>
          <w:bCs/>
        </w:rPr>
        <w:t xml:space="preserve">BG16FFPR003-1.001 </w:t>
      </w:r>
      <w:r>
        <w:rPr>
          <w:bCs/>
        </w:rPr>
        <w:t>„</w:t>
      </w:r>
      <w:r w:rsidRPr="004426B4">
        <w:rPr>
          <w:bCs/>
        </w:rPr>
        <w:t>Подкрепа за интегрирано градско развитие в 10-те градски общини – основни центрове на растеж</w:t>
      </w:r>
      <w:r>
        <w:rPr>
          <w:bCs/>
        </w:rPr>
        <w:t>“, на Програма „</w:t>
      </w:r>
      <w:r w:rsidRPr="00824B01">
        <w:rPr>
          <w:bCs/>
        </w:rPr>
        <w:t>Развитие на регионите” 2021-2027 г.</w:t>
      </w:r>
    </w:p>
    <w:p w:rsidR="00190532" w:rsidRDefault="00190532" w:rsidP="00190532">
      <w:pPr>
        <w:spacing w:before="0" w:after="0"/>
        <w:ind w:firstLine="0"/>
        <w:rPr>
          <w:rFonts w:eastAsiaTheme="minorEastAsia"/>
          <w:b/>
        </w:rPr>
      </w:pPr>
    </w:p>
    <w:p w:rsidR="005A0783" w:rsidRDefault="005A0783" w:rsidP="00190532">
      <w:pPr>
        <w:spacing w:before="0" w:after="0"/>
        <w:ind w:left="4820" w:firstLine="0"/>
        <w:rPr>
          <w:rFonts w:eastAsiaTheme="minorEastAsia"/>
          <w:b/>
        </w:rPr>
      </w:pPr>
      <w:r>
        <w:rPr>
          <w:rFonts w:eastAsiaTheme="minorEastAsia"/>
          <w:b/>
        </w:rPr>
        <w:t>НИКОЛАЙ НАЙДЕНОВ</w:t>
      </w:r>
    </w:p>
    <w:p w:rsidR="00190532" w:rsidRPr="00824B01" w:rsidRDefault="00190532" w:rsidP="00190532">
      <w:pPr>
        <w:spacing w:before="0" w:after="0"/>
        <w:ind w:left="4820" w:firstLine="0"/>
        <w:rPr>
          <w:rFonts w:eastAsiaTheme="minorEastAsia"/>
          <w:b/>
        </w:rPr>
      </w:pPr>
      <w:r w:rsidRPr="00824B01">
        <w:rPr>
          <w:rFonts w:eastAsiaTheme="minorEastAsia"/>
          <w:b/>
        </w:rPr>
        <w:t>МИНИСТЪР</w:t>
      </w:r>
    </w:p>
    <w:p w:rsidR="00190532" w:rsidRPr="00824B01" w:rsidRDefault="00190532" w:rsidP="00190532">
      <w:pPr>
        <w:spacing w:before="0" w:after="0"/>
        <w:ind w:left="4820" w:firstLine="0"/>
        <w:rPr>
          <w:rFonts w:eastAsiaTheme="minorEastAsia"/>
          <w:b/>
        </w:rPr>
      </w:pPr>
      <w:r w:rsidRPr="00824B01">
        <w:rPr>
          <w:rFonts w:eastAsiaTheme="minorEastAsia"/>
          <w:b/>
        </w:rPr>
        <w:t>И РЪКОВОДИТЕЛ НА УО НА ПРР</w:t>
      </w:r>
    </w:p>
    <w:p w:rsidR="00190532" w:rsidRPr="00824B01" w:rsidRDefault="00190532" w:rsidP="00190532">
      <w:pPr>
        <w:tabs>
          <w:tab w:val="left" w:pos="993"/>
          <w:tab w:val="left" w:pos="1134"/>
        </w:tabs>
        <w:spacing w:before="0" w:after="0"/>
        <w:jc w:val="both"/>
        <w:rPr>
          <w:rFonts w:eastAsia="Batang"/>
          <w:lang w:eastAsia="en-US" w:bidi="bg-BG"/>
        </w:rPr>
      </w:pPr>
    </w:p>
    <w:p w:rsidR="00190532" w:rsidRPr="00824B01" w:rsidRDefault="00190532" w:rsidP="00190532">
      <w:pPr>
        <w:tabs>
          <w:tab w:val="left" w:pos="993"/>
          <w:tab w:val="left" w:pos="1134"/>
        </w:tabs>
        <w:spacing w:before="0" w:after="0"/>
        <w:ind w:firstLine="0"/>
        <w:jc w:val="both"/>
        <w:rPr>
          <w:rFonts w:eastAsia="Batang"/>
          <w:b/>
          <w:i/>
          <w:lang w:eastAsia="en-US" w:bidi="bg-BG"/>
        </w:rPr>
      </w:pPr>
      <w:r w:rsidRPr="00824B01">
        <w:rPr>
          <w:rFonts w:eastAsia="Batang"/>
          <w:b/>
          <w:i/>
          <w:lang w:eastAsia="en-US" w:bidi="bg-BG"/>
        </w:rPr>
        <w:t>Формат на електронен подпис: .p7s</w:t>
      </w:r>
    </w:p>
    <w:p w:rsidR="0086383B" w:rsidRPr="00824B01" w:rsidRDefault="0086383B" w:rsidP="00190532">
      <w:pPr>
        <w:jc w:val="both"/>
        <w:rPr>
          <w:rFonts w:eastAsia="Batang"/>
          <w:b/>
          <w:i/>
          <w:lang w:eastAsia="en-US" w:bidi="bg-BG"/>
        </w:rPr>
      </w:pPr>
    </w:p>
    <w:sectPr w:rsidR="0086383B" w:rsidRPr="00824B01" w:rsidSect="00776B70">
      <w:footerReference w:type="default" r:id="rId14"/>
      <w:footerReference w:type="first" r:id="rId15"/>
      <w:pgSz w:w="11906" w:h="16838" w:code="9"/>
      <w:pgMar w:top="1444" w:right="1134" w:bottom="567" w:left="1701" w:header="113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BB7" w:rsidRDefault="00486BB7">
      <w:r>
        <w:separator/>
      </w:r>
    </w:p>
  </w:endnote>
  <w:endnote w:type="continuationSeparator" w:id="0">
    <w:p w:rsidR="00486BB7" w:rsidRDefault="0048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426477"/>
      <w:docPartObj>
        <w:docPartGallery w:val="Page Numbers (Bottom of Page)"/>
        <w:docPartUnique/>
      </w:docPartObj>
    </w:sdtPr>
    <w:sdtEndPr/>
    <w:sdtContent>
      <w:sdt>
        <w:sdtPr>
          <w:id w:val="839502696"/>
          <w:docPartObj>
            <w:docPartGallery w:val="Page Numbers (Top of Page)"/>
            <w:docPartUnique/>
          </w:docPartObj>
        </w:sdtPr>
        <w:sdtEndPr/>
        <w:sdtContent>
          <w:p w:rsidR="002653FA" w:rsidRDefault="002653FA">
            <w:pPr>
              <w:pStyle w:val="Footer"/>
              <w:jc w:val="right"/>
            </w:pPr>
            <w:r>
              <w:t xml:space="preserve">стр. </w:t>
            </w:r>
            <w:r>
              <w:rPr>
                <w:b/>
                <w:bCs/>
              </w:rPr>
              <w:fldChar w:fldCharType="begin"/>
            </w:r>
            <w:r>
              <w:rPr>
                <w:b/>
                <w:bCs/>
              </w:rPr>
              <w:instrText xml:space="preserve"> PAGE </w:instrText>
            </w:r>
            <w:r>
              <w:rPr>
                <w:b/>
                <w:bCs/>
              </w:rPr>
              <w:fldChar w:fldCharType="separate"/>
            </w:r>
            <w:r w:rsidR="00E02D48">
              <w:rPr>
                <w:b/>
                <w:bCs/>
                <w:noProof/>
              </w:rPr>
              <w:t>7</w:t>
            </w:r>
            <w:r>
              <w:rPr>
                <w:b/>
                <w:bCs/>
              </w:rPr>
              <w:fldChar w:fldCharType="end"/>
            </w:r>
            <w:r>
              <w:t xml:space="preserve"> от </w:t>
            </w:r>
            <w:r>
              <w:rPr>
                <w:b/>
                <w:bCs/>
              </w:rPr>
              <w:fldChar w:fldCharType="begin"/>
            </w:r>
            <w:r>
              <w:rPr>
                <w:b/>
                <w:bCs/>
              </w:rPr>
              <w:instrText xml:space="preserve"> NUMPAGES  </w:instrText>
            </w:r>
            <w:r>
              <w:rPr>
                <w:b/>
                <w:bCs/>
              </w:rPr>
              <w:fldChar w:fldCharType="separate"/>
            </w:r>
            <w:r w:rsidR="00E02D48">
              <w:rPr>
                <w:b/>
                <w:bCs/>
                <w:noProof/>
              </w:rPr>
              <w:t>8</w:t>
            </w:r>
            <w:r>
              <w:rPr>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803398"/>
      <w:docPartObj>
        <w:docPartGallery w:val="Page Numbers (Bottom of Page)"/>
        <w:docPartUnique/>
      </w:docPartObj>
    </w:sdtPr>
    <w:sdtEndPr/>
    <w:sdtContent>
      <w:sdt>
        <w:sdtPr>
          <w:id w:val="-1376839315"/>
          <w:docPartObj>
            <w:docPartGallery w:val="Page Numbers (Top of Page)"/>
            <w:docPartUnique/>
          </w:docPartObj>
        </w:sdtPr>
        <w:sdtEndPr/>
        <w:sdtContent>
          <w:p w:rsidR="00976051" w:rsidRPr="00A503EB" w:rsidRDefault="00976051" w:rsidP="00976051">
            <w:pPr>
              <w:pStyle w:val="Footer"/>
              <w:pBdr>
                <w:top w:val="inset" w:sz="6" w:space="1" w:color="auto"/>
              </w:pBdr>
              <w:spacing w:before="0" w:after="0" w:line="240" w:lineRule="auto"/>
              <w:jc w:val="center"/>
              <w:rPr>
                <w:sz w:val="20"/>
                <w:szCs w:val="20"/>
                <w:lang w:val="ru-RU"/>
              </w:rPr>
            </w:pPr>
            <w:r>
              <w:rPr>
                <w:sz w:val="20"/>
                <w:szCs w:val="20"/>
              </w:rPr>
              <w:t xml:space="preserve">гр. София, ул. </w:t>
            </w:r>
            <w:r>
              <w:rPr>
                <w:sz w:val="20"/>
                <w:szCs w:val="20"/>
                <w:lang w:val="en-US"/>
              </w:rPr>
              <w:t>„</w:t>
            </w:r>
            <w:r>
              <w:rPr>
                <w:sz w:val="20"/>
                <w:szCs w:val="20"/>
              </w:rPr>
              <w:t>Св.</w:t>
            </w:r>
            <w:r>
              <w:rPr>
                <w:sz w:val="20"/>
                <w:szCs w:val="20"/>
                <w:lang w:val="en-US"/>
              </w:rPr>
              <w:t xml:space="preserve"> </w:t>
            </w:r>
            <w:r>
              <w:rPr>
                <w:sz w:val="20"/>
                <w:szCs w:val="20"/>
              </w:rPr>
              <w:t>Св. Кирил и Методий</w:t>
            </w:r>
            <w:proofErr w:type="gramStart"/>
            <w:r>
              <w:rPr>
                <w:sz w:val="20"/>
                <w:szCs w:val="20"/>
                <w:lang w:val="en-US"/>
              </w:rPr>
              <w:t>“</w:t>
            </w:r>
            <w:r>
              <w:rPr>
                <w:sz w:val="20"/>
                <w:szCs w:val="20"/>
              </w:rPr>
              <w:t xml:space="preserve"> №</w:t>
            </w:r>
            <w:proofErr w:type="gramEnd"/>
            <w:r>
              <w:rPr>
                <w:sz w:val="20"/>
                <w:szCs w:val="20"/>
              </w:rPr>
              <w:t>1</w:t>
            </w:r>
            <w:r w:rsidRPr="00A503EB">
              <w:rPr>
                <w:sz w:val="20"/>
                <w:szCs w:val="20"/>
                <w:lang w:val="ru-RU"/>
              </w:rPr>
              <w:t>7</w:t>
            </w:r>
            <w:r>
              <w:rPr>
                <w:sz w:val="20"/>
                <w:szCs w:val="20"/>
              </w:rPr>
              <w:t>-1</w:t>
            </w:r>
            <w:r w:rsidRPr="00A503EB">
              <w:rPr>
                <w:sz w:val="20"/>
                <w:szCs w:val="20"/>
                <w:lang w:val="ru-RU"/>
              </w:rPr>
              <w:t>9</w:t>
            </w:r>
          </w:p>
          <w:p w:rsidR="00976051" w:rsidRPr="005845A9" w:rsidRDefault="00976051" w:rsidP="00976051">
            <w:pPr>
              <w:pStyle w:val="Footer"/>
              <w:pBdr>
                <w:top w:val="inset" w:sz="6" w:space="1" w:color="auto"/>
              </w:pBdr>
              <w:spacing w:before="0" w:after="0" w:line="240" w:lineRule="auto"/>
              <w:jc w:val="center"/>
              <w:rPr>
                <w:sz w:val="20"/>
                <w:szCs w:val="20"/>
              </w:rPr>
            </w:pPr>
            <w:r w:rsidRPr="005845A9">
              <w:rPr>
                <w:sz w:val="20"/>
                <w:szCs w:val="20"/>
              </w:rPr>
              <w:t>тел.</w:t>
            </w:r>
            <w:r w:rsidRPr="005845A9">
              <w:rPr>
                <w:sz w:val="20"/>
                <w:szCs w:val="20"/>
                <w:lang w:val="ru-RU"/>
              </w:rPr>
              <w:t xml:space="preserve"> </w:t>
            </w:r>
            <w:r w:rsidRPr="005845A9">
              <w:rPr>
                <w:sz w:val="20"/>
                <w:szCs w:val="20"/>
                <w:lang w:val="ru-RU"/>
              </w:rPr>
              <w:t>9405 900</w:t>
            </w:r>
            <w:r w:rsidRPr="005845A9">
              <w:rPr>
                <w:sz w:val="20"/>
                <w:szCs w:val="20"/>
              </w:rPr>
              <w:t>, факс</w:t>
            </w:r>
            <w:r w:rsidRPr="005845A9">
              <w:rPr>
                <w:sz w:val="20"/>
                <w:szCs w:val="20"/>
                <w:lang w:val="ru-RU"/>
              </w:rPr>
              <w:t xml:space="preserve"> 987 25 17</w:t>
            </w:r>
            <w:r>
              <w:rPr>
                <w:sz w:val="20"/>
                <w:szCs w:val="20"/>
                <w:lang w:val="ru-RU"/>
              </w:rPr>
              <w:t xml:space="preserve">, </w:t>
            </w:r>
            <w:r w:rsidRPr="005845A9">
              <w:rPr>
                <w:sz w:val="20"/>
                <w:szCs w:val="20"/>
              </w:rPr>
              <w:t>e-</w:t>
            </w:r>
            <w:proofErr w:type="spellStart"/>
            <w:r w:rsidRPr="005845A9">
              <w:rPr>
                <w:sz w:val="20"/>
                <w:szCs w:val="20"/>
              </w:rPr>
              <w:t>mail</w:t>
            </w:r>
            <w:proofErr w:type="spellEnd"/>
            <w:r w:rsidRPr="005845A9">
              <w:rPr>
                <w:sz w:val="20"/>
                <w:szCs w:val="20"/>
              </w:rPr>
              <w:t>: e-mrrb@mrrb.government.bg</w:t>
            </w:r>
          </w:p>
          <w:p w:rsidR="00776B70" w:rsidRDefault="00976051" w:rsidP="00976051">
            <w:pPr>
              <w:pStyle w:val="Footer"/>
              <w:pBdr>
                <w:top w:val="inset" w:sz="6" w:space="1" w:color="auto"/>
              </w:pBdr>
              <w:spacing w:before="0" w:after="0" w:line="240" w:lineRule="auto"/>
              <w:jc w:val="center"/>
            </w:pPr>
            <w:r w:rsidRPr="005845A9">
              <w:rPr>
                <w:sz w:val="20"/>
                <w:szCs w:val="20"/>
              </w:rPr>
              <w:t>www.mrrb.bg</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255" w:rsidRPr="00A503EB" w:rsidRDefault="00847255" w:rsidP="00847255">
    <w:pPr>
      <w:pStyle w:val="Footer"/>
      <w:pBdr>
        <w:top w:val="inset" w:sz="6" w:space="1" w:color="auto"/>
      </w:pBdr>
      <w:spacing w:before="0" w:after="0" w:line="240" w:lineRule="auto"/>
      <w:jc w:val="center"/>
      <w:rPr>
        <w:sz w:val="20"/>
        <w:szCs w:val="20"/>
        <w:lang w:val="ru-RU"/>
      </w:rPr>
    </w:pPr>
    <w:r>
      <w:rPr>
        <w:sz w:val="20"/>
        <w:szCs w:val="20"/>
      </w:rPr>
      <w:t xml:space="preserve">гр. София, ул. </w:t>
    </w:r>
    <w:r>
      <w:rPr>
        <w:sz w:val="20"/>
        <w:szCs w:val="20"/>
        <w:lang w:val="en-US"/>
      </w:rPr>
      <w:t>„</w:t>
    </w:r>
    <w:r>
      <w:rPr>
        <w:sz w:val="20"/>
        <w:szCs w:val="20"/>
      </w:rPr>
      <w:t>Св.</w:t>
    </w:r>
    <w:r>
      <w:rPr>
        <w:sz w:val="20"/>
        <w:szCs w:val="20"/>
        <w:lang w:val="en-US"/>
      </w:rPr>
      <w:t xml:space="preserve"> </w:t>
    </w:r>
    <w:r>
      <w:rPr>
        <w:sz w:val="20"/>
        <w:szCs w:val="20"/>
      </w:rPr>
      <w:t>Св. Кирил и Методий</w:t>
    </w:r>
    <w:proofErr w:type="gramStart"/>
    <w:r>
      <w:rPr>
        <w:sz w:val="20"/>
        <w:szCs w:val="20"/>
        <w:lang w:val="en-US"/>
      </w:rPr>
      <w:t>“</w:t>
    </w:r>
    <w:r>
      <w:rPr>
        <w:sz w:val="20"/>
        <w:szCs w:val="20"/>
      </w:rPr>
      <w:t xml:space="preserve"> №</w:t>
    </w:r>
    <w:proofErr w:type="gramEnd"/>
    <w:r>
      <w:rPr>
        <w:sz w:val="20"/>
        <w:szCs w:val="20"/>
      </w:rPr>
      <w:t>1</w:t>
    </w:r>
    <w:r w:rsidRPr="00A503EB">
      <w:rPr>
        <w:sz w:val="20"/>
        <w:szCs w:val="20"/>
        <w:lang w:val="ru-RU"/>
      </w:rPr>
      <w:t>7</w:t>
    </w:r>
    <w:r>
      <w:rPr>
        <w:sz w:val="20"/>
        <w:szCs w:val="20"/>
      </w:rPr>
      <w:t>-1</w:t>
    </w:r>
    <w:r w:rsidRPr="00A503EB">
      <w:rPr>
        <w:sz w:val="20"/>
        <w:szCs w:val="20"/>
        <w:lang w:val="ru-RU"/>
      </w:rPr>
      <w:t>9</w:t>
    </w:r>
  </w:p>
  <w:p w:rsidR="00847255" w:rsidRDefault="00847255" w:rsidP="00847255">
    <w:pPr>
      <w:pStyle w:val="Footer"/>
      <w:pBdr>
        <w:top w:val="inset" w:sz="6" w:space="1" w:color="auto"/>
      </w:pBdr>
      <w:spacing w:before="0" w:after="0" w:line="240" w:lineRule="auto"/>
      <w:jc w:val="center"/>
      <w:rPr>
        <w:sz w:val="20"/>
        <w:szCs w:val="20"/>
      </w:rPr>
    </w:pPr>
    <w:r>
      <w:rPr>
        <w:sz w:val="20"/>
        <w:szCs w:val="20"/>
      </w:rPr>
      <w:t>тел.</w:t>
    </w:r>
    <w:r>
      <w:rPr>
        <w:sz w:val="20"/>
        <w:szCs w:val="20"/>
        <w:lang w:val="ru-RU"/>
      </w:rPr>
      <w:t xml:space="preserve"> </w:t>
    </w:r>
    <w:r>
      <w:rPr>
        <w:sz w:val="20"/>
        <w:szCs w:val="20"/>
        <w:lang w:val="ru-RU"/>
      </w:rPr>
      <w:t>94</w:t>
    </w:r>
    <w:r w:rsidRPr="00A503EB">
      <w:rPr>
        <w:sz w:val="20"/>
        <w:szCs w:val="20"/>
        <w:lang w:val="ru-RU"/>
      </w:rPr>
      <w:t>05</w:t>
    </w:r>
    <w:r w:rsidRPr="00DF1289">
      <w:rPr>
        <w:sz w:val="20"/>
        <w:szCs w:val="20"/>
        <w:lang w:val="ru-RU"/>
      </w:rPr>
      <w:t xml:space="preserve"> </w:t>
    </w:r>
    <w:r w:rsidRPr="00A503EB">
      <w:rPr>
        <w:sz w:val="20"/>
        <w:szCs w:val="20"/>
        <w:lang w:val="ru-RU"/>
      </w:rPr>
      <w:t>9</w:t>
    </w:r>
    <w:r w:rsidRPr="00DF1289">
      <w:rPr>
        <w:sz w:val="20"/>
        <w:szCs w:val="20"/>
        <w:lang w:val="ru-RU"/>
      </w:rPr>
      <w:t>00</w:t>
    </w:r>
    <w:r>
      <w:rPr>
        <w:sz w:val="20"/>
        <w:szCs w:val="20"/>
      </w:rPr>
      <w:t>, факс</w:t>
    </w:r>
    <w:r w:rsidRPr="00A503EB">
      <w:rPr>
        <w:sz w:val="20"/>
        <w:szCs w:val="20"/>
        <w:lang w:val="ru-RU"/>
      </w:rPr>
      <w:t xml:space="preserve"> 987 25 17</w:t>
    </w:r>
    <w:r w:rsidRPr="004D67CA">
      <w:rPr>
        <w:rStyle w:val="Hyperlink"/>
        <w:sz w:val="20"/>
        <w:szCs w:val="20"/>
        <w:lang w:val="en-US"/>
      </w:rPr>
      <w:t xml:space="preserve"> </w:t>
    </w:r>
    <w:r w:rsidRPr="004D67CA">
      <w:t>e-</w:t>
    </w:r>
    <w:proofErr w:type="spellStart"/>
    <w:r w:rsidRPr="004D67CA">
      <w:t>mail</w:t>
    </w:r>
    <w:proofErr w:type="spellEnd"/>
    <w:r w:rsidRPr="004D67CA">
      <w:t>: e-mrrb@mrrb.government.bg</w:t>
    </w:r>
  </w:p>
  <w:p w:rsidR="00847255" w:rsidRPr="004D67CA" w:rsidRDefault="00486BB7" w:rsidP="00306167">
    <w:pPr>
      <w:pStyle w:val="Footer"/>
      <w:tabs>
        <w:tab w:val="clear" w:pos="9072"/>
        <w:tab w:val="right" w:pos="9071"/>
      </w:tabs>
      <w:ind w:firstLine="0"/>
      <w:jc w:val="center"/>
      <w:rPr>
        <w:sz w:val="20"/>
        <w:szCs w:val="20"/>
      </w:rPr>
    </w:pPr>
    <w:hyperlink r:id="rId1" w:history="1">
      <w:r w:rsidR="00847255" w:rsidRPr="004D67CA">
        <w:t>www.mrrb.government.bg</w:t>
      </w:r>
    </w:hyperlink>
    <w:r w:rsidR="00847255" w:rsidRPr="004D67CA">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BB7" w:rsidRDefault="00486BB7">
      <w:r>
        <w:separator/>
      </w:r>
    </w:p>
  </w:footnote>
  <w:footnote w:type="continuationSeparator" w:id="0">
    <w:p w:rsidR="00486BB7" w:rsidRDefault="0048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double" w:sz="4" w:space="0" w:color="auto"/>
        <w:right w:val="none" w:sz="0" w:space="0" w:color="auto"/>
      </w:tblBorders>
      <w:tblLook w:val="04A0" w:firstRow="1" w:lastRow="0" w:firstColumn="1" w:lastColumn="0" w:noHBand="0" w:noVBand="1"/>
    </w:tblPr>
    <w:tblGrid>
      <w:gridCol w:w="9071"/>
    </w:tblGrid>
    <w:tr w:rsidR="002653FA" w:rsidTr="00776B70">
      <w:tc>
        <w:tcPr>
          <w:tcW w:w="9211" w:type="dxa"/>
        </w:tcPr>
        <w:p w:rsidR="002653FA" w:rsidRPr="0086383B" w:rsidRDefault="002653FA" w:rsidP="0086383B">
          <w:pPr>
            <w:jc w:val="center"/>
            <w:rPr>
              <w:b/>
            </w:rPr>
          </w:pPr>
          <w:r>
            <w:rPr>
              <w:b/>
            </w:rPr>
            <w:t>З А П О В Е Д</w:t>
          </w:r>
        </w:p>
      </w:tc>
    </w:tr>
  </w:tbl>
  <w:p w:rsidR="002653FA" w:rsidRDefault="002653FA" w:rsidP="00682E20">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108"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7380"/>
    </w:tblGrid>
    <w:tr w:rsidR="002653FA" w:rsidTr="00E17DBC">
      <w:trPr>
        <w:trHeight w:val="568"/>
      </w:trPr>
      <w:tc>
        <w:tcPr>
          <w:tcW w:w="1728" w:type="dxa"/>
        </w:tcPr>
        <w:p w:rsidR="002653FA" w:rsidRDefault="002653FA" w:rsidP="00B25E5C">
          <w:pPr>
            <w:ind w:firstLine="0"/>
            <w:jc w:val="center"/>
            <w:rPr>
              <w:b/>
              <w:lang w:val="en-US"/>
            </w:rPr>
          </w:pPr>
          <w:r>
            <w:rPr>
              <w:b/>
              <w:noProof/>
              <w:lang w:val="en-US" w:eastAsia="en-US"/>
            </w:rPr>
            <w:drawing>
              <wp:anchor distT="0" distB="0" distL="114300" distR="114300" simplePos="0" relativeHeight="251659264" behindDoc="0" locked="0" layoutInCell="1" allowOverlap="1" wp14:anchorId="5781D540" wp14:editId="2ADECBCC">
                <wp:simplePos x="0" y="0"/>
                <wp:positionH relativeFrom="column">
                  <wp:posOffset>-1905</wp:posOffset>
                </wp:positionH>
                <wp:positionV relativeFrom="paragraph">
                  <wp:posOffset>-34925</wp:posOffset>
                </wp:positionV>
                <wp:extent cx="1056960" cy="900000"/>
                <wp:effectExtent l="0" t="0" r="0" b="0"/>
                <wp:wrapNone/>
                <wp:docPr id="1" name="Picture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6960" cy="900000"/>
                        </a:xfrm>
                        <a:prstGeom prst="rect">
                          <a:avLst/>
                        </a:prstGeom>
                        <a:noFill/>
                        <a:ln>
                          <a:noFill/>
                        </a:ln>
                      </pic:spPr>
                    </pic:pic>
                  </a:graphicData>
                </a:graphic>
                <wp14:sizeRelH relativeFrom="page">
                  <wp14:pctWidth>0</wp14:pctWidth>
                </wp14:sizeRelH>
                <wp14:sizeRelV relativeFrom="page">
                  <wp14:pctHeight>0</wp14:pctHeight>
                </wp14:sizeRelV>
              </wp:anchor>
            </w:drawing>
          </w:r>
          <w:r>
            <w:rPr>
              <w:b/>
              <w:lang w:val="en-US"/>
            </w:rPr>
            <w:ptab w:relativeTo="margin" w:alignment="center" w:leader="none"/>
          </w:r>
        </w:p>
      </w:tc>
      <w:tc>
        <w:tcPr>
          <w:tcW w:w="7380" w:type="dxa"/>
          <w:vAlign w:val="center"/>
        </w:tcPr>
        <w:p w:rsidR="002653FA" w:rsidRPr="00821983" w:rsidRDefault="002653FA" w:rsidP="00A370D6">
          <w:pPr>
            <w:ind w:firstLine="0"/>
            <w:jc w:val="center"/>
            <w:rPr>
              <w:rFonts w:ascii="Times New Roman Bold" w:hAnsi="Times New Roman Bold"/>
              <w:b/>
              <w:lang w:val="en-US"/>
            </w:rPr>
          </w:pPr>
          <w:r w:rsidRPr="00821983">
            <w:rPr>
              <w:rFonts w:ascii="Times New Roman Bold" w:hAnsi="Times New Roman Bold"/>
              <w:b/>
            </w:rPr>
            <w:t>РЕПУБЛИКА БЪЛГАРИЯ</w:t>
          </w:r>
        </w:p>
        <w:p w:rsidR="002653FA" w:rsidRPr="00821983" w:rsidRDefault="00074926" w:rsidP="00DA0B19">
          <w:pPr>
            <w:ind w:firstLine="0"/>
            <w:jc w:val="center"/>
            <w:rPr>
              <w:rFonts w:ascii="Times New Roman Bold" w:hAnsi="Times New Roman Bold"/>
              <w:b/>
              <w:lang w:val="en-US"/>
            </w:rPr>
          </w:pPr>
          <w:r w:rsidRPr="00074926">
            <w:rPr>
              <w:b/>
            </w:rPr>
            <w:t>М</w:t>
          </w:r>
          <w:r w:rsidR="002653FA" w:rsidRPr="00AA525E">
            <w:rPr>
              <w:rFonts w:ascii="Times New Roman Bold" w:hAnsi="Times New Roman Bold"/>
              <w:b/>
            </w:rPr>
            <w:t>инистър на регионалното развитие и благоустройството</w:t>
          </w:r>
        </w:p>
      </w:tc>
    </w:tr>
  </w:tbl>
  <w:p w:rsidR="002653FA" w:rsidRDefault="002653FA" w:rsidP="004D67CA">
    <w:pPr>
      <w:ind w:firstLine="0"/>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46C6C"/>
    <w:multiLevelType w:val="hybridMultilevel"/>
    <w:tmpl w:val="7360B358"/>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D6069D"/>
    <w:multiLevelType w:val="hybridMultilevel"/>
    <w:tmpl w:val="D3109782"/>
    <w:lvl w:ilvl="0" w:tplc="12DA8BBA">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6914C8"/>
    <w:multiLevelType w:val="hybridMultilevel"/>
    <w:tmpl w:val="C896C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536F1F53"/>
    <w:multiLevelType w:val="hybridMultilevel"/>
    <w:tmpl w:val="C434765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A1F313D"/>
    <w:multiLevelType w:val="hybridMultilevel"/>
    <w:tmpl w:val="772C763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E02"/>
    <w:rsid w:val="00006058"/>
    <w:rsid w:val="00011EAB"/>
    <w:rsid w:val="00017451"/>
    <w:rsid w:val="00023F0A"/>
    <w:rsid w:val="00032511"/>
    <w:rsid w:val="00037CCB"/>
    <w:rsid w:val="00074926"/>
    <w:rsid w:val="0008513C"/>
    <w:rsid w:val="0008612E"/>
    <w:rsid w:val="000873C7"/>
    <w:rsid w:val="0009335C"/>
    <w:rsid w:val="000A5F38"/>
    <w:rsid w:val="000C3B8C"/>
    <w:rsid w:val="000C778F"/>
    <w:rsid w:val="000E73BA"/>
    <w:rsid w:val="00103014"/>
    <w:rsid w:val="00113051"/>
    <w:rsid w:val="001206DC"/>
    <w:rsid w:val="00120D09"/>
    <w:rsid w:val="00122688"/>
    <w:rsid w:val="00127EED"/>
    <w:rsid w:val="00141BD6"/>
    <w:rsid w:val="00142320"/>
    <w:rsid w:val="00145E77"/>
    <w:rsid w:val="00146ABA"/>
    <w:rsid w:val="00166203"/>
    <w:rsid w:val="00190135"/>
    <w:rsid w:val="00190532"/>
    <w:rsid w:val="00194AE8"/>
    <w:rsid w:val="001A5B9C"/>
    <w:rsid w:val="001B12B9"/>
    <w:rsid w:val="001C1A2B"/>
    <w:rsid w:val="001C1BFC"/>
    <w:rsid w:val="001C2CDD"/>
    <w:rsid w:val="001D62C6"/>
    <w:rsid w:val="001D76FB"/>
    <w:rsid w:val="001E1860"/>
    <w:rsid w:val="001E217A"/>
    <w:rsid w:val="001F2F44"/>
    <w:rsid w:val="001F30E8"/>
    <w:rsid w:val="001F550E"/>
    <w:rsid w:val="00217C2F"/>
    <w:rsid w:val="00220630"/>
    <w:rsid w:val="002344B6"/>
    <w:rsid w:val="00240588"/>
    <w:rsid w:val="002414DF"/>
    <w:rsid w:val="00246101"/>
    <w:rsid w:val="00252BAB"/>
    <w:rsid w:val="002566D6"/>
    <w:rsid w:val="0026490C"/>
    <w:rsid w:val="002653FA"/>
    <w:rsid w:val="00266702"/>
    <w:rsid w:val="00272B22"/>
    <w:rsid w:val="002901A9"/>
    <w:rsid w:val="00290410"/>
    <w:rsid w:val="00290E1D"/>
    <w:rsid w:val="002A502E"/>
    <w:rsid w:val="002E1186"/>
    <w:rsid w:val="002E2B51"/>
    <w:rsid w:val="00301AAF"/>
    <w:rsid w:val="00306167"/>
    <w:rsid w:val="0031577F"/>
    <w:rsid w:val="00317220"/>
    <w:rsid w:val="00322AD7"/>
    <w:rsid w:val="00325662"/>
    <w:rsid w:val="003310C2"/>
    <w:rsid w:val="003312DA"/>
    <w:rsid w:val="003317D7"/>
    <w:rsid w:val="003441CD"/>
    <w:rsid w:val="0035704D"/>
    <w:rsid w:val="003622CA"/>
    <w:rsid w:val="003736FE"/>
    <w:rsid w:val="0037679B"/>
    <w:rsid w:val="0038583F"/>
    <w:rsid w:val="003B01AF"/>
    <w:rsid w:val="003C02F0"/>
    <w:rsid w:val="003C52BB"/>
    <w:rsid w:val="003C64D7"/>
    <w:rsid w:val="003F3B66"/>
    <w:rsid w:val="003F3C09"/>
    <w:rsid w:val="00411956"/>
    <w:rsid w:val="0041296D"/>
    <w:rsid w:val="00431296"/>
    <w:rsid w:val="004426B4"/>
    <w:rsid w:val="00445216"/>
    <w:rsid w:val="00457358"/>
    <w:rsid w:val="0047506F"/>
    <w:rsid w:val="00475D52"/>
    <w:rsid w:val="00481805"/>
    <w:rsid w:val="00485EC5"/>
    <w:rsid w:val="00486BB7"/>
    <w:rsid w:val="0049182A"/>
    <w:rsid w:val="00493008"/>
    <w:rsid w:val="00495290"/>
    <w:rsid w:val="0049538D"/>
    <w:rsid w:val="004956B7"/>
    <w:rsid w:val="004974F3"/>
    <w:rsid w:val="00497E32"/>
    <w:rsid w:val="004A6D4E"/>
    <w:rsid w:val="004C46C8"/>
    <w:rsid w:val="004D49C2"/>
    <w:rsid w:val="004D67CA"/>
    <w:rsid w:val="004E21D1"/>
    <w:rsid w:val="004E52BB"/>
    <w:rsid w:val="004E7FAC"/>
    <w:rsid w:val="00522E2B"/>
    <w:rsid w:val="00530AE2"/>
    <w:rsid w:val="00540542"/>
    <w:rsid w:val="00551210"/>
    <w:rsid w:val="00564A1E"/>
    <w:rsid w:val="00571AEA"/>
    <w:rsid w:val="00572029"/>
    <w:rsid w:val="00573E4F"/>
    <w:rsid w:val="00584C7C"/>
    <w:rsid w:val="00594D1E"/>
    <w:rsid w:val="00597130"/>
    <w:rsid w:val="005A0783"/>
    <w:rsid w:val="005A4C22"/>
    <w:rsid w:val="005C3210"/>
    <w:rsid w:val="005C75AB"/>
    <w:rsid w:val="005D5BD2"/>
    <w:rsid w:val="005F0FEA"/>
    <w:rsid w:val="005F355E"/>
    <w:rsid w:val="005F4366"/>
    <w:rsid w:val="005F47E0"/>
    <w:rsid w:val="00606A30"/>
    <w:rsid w:val="00642DD9"/>
    <w:rsid w:val="0064734C"/>
    <w:rsid w:val="0065416F"/>
    <w:rsid w:val="006552CC"/>
    <w:rsid w:val="00662849"/>
    <w:rsid w:val="006665A9"/>
    <w:rsid w:val="00667995"/>
    <w:rsid w:val="00680093"/>
    <w:rsid w:val="00682E20"/>
    <w:rsid w:val="006837C8"/>
    <w:rsid w:val="006913AF"/>
    <w:rsid w:val="00691EF6"/>
    <w:rsid w:val="006B7259"/>
    <w:rsid w:val="006B7A1C"/>
    <w:rsid w:val="006B7F91"/>
    <w:rsid w:val="006C03A0"/>
    <w:rsid w:val="006C1AE9"/>
    <w:rsid w:val="006C231B"/>
    <w:rsid w:val="006D33C5"/>
    <w:rsid w:val="006D4E47"/>
    <w:rsid w:val="006E21A1"/>
    <w:rsid w:val="006E4577"/>
    <w:rsid w:val="006E712C"/>
    <w:rsid w:val="006F0B70"/>
    <w:rsid w:val="006F5902"/>
    <w:rsid w:val="00701B7B"/>
    <w:rsid w:val="007045C2"/>
    <w:rsid w:val="00710C77"/>
    <w:rsid w:val="00727324"/>
    <w:rsid w:val="00744568"/>
    <w:rsid w:val="00746841"/>
    <w:rsid w:val="007473E6"/>
    <w:rsid w:val="0075312F"/>
    <w:rsid w:val="00754E15"/>
    <w:rsid w:val="00766AF9"/>
    <w:rsid w:val="00773444"/>
    <w:rsid w:val="00776B70"/>
    <w:rsid w:val="00785E4B"/>
    <w:rsid w:val="007A26D0"/>
    <w:rsid w:val="007B505A"/>
    <w:rsid w:val="007B608D"/>
    <w:rsid w:val="007C0D99"/>
    <w:rsid w:val="007D3540"/>
    <w:rsid w:val="007D4C7A"/>
    <w:rsid w:val="007F17D1"/>
    <w:rsid w:val="007F4763"/>
    <w:rsid w:val="00821983"/>
    <w:rsid w:val="00824B01"/>
    <w:rsid w:val="00825368"/>
    <w:rsid w:val="008373A4"/>
    <w:rsid w:val="008456E4"/>
    <w:rsid w:val="00845CA8"/>
    <w:rsid w:val="00847255"/>
    <w:rsid w:val="008472B0"/>
    <w:rsid w:val="00863552"/>
    <w:rsid w:val="0086383B"/>
    <w:rsid w:val="0087415D"/>
    <w:rsid w:val="00875251"/>
    <w:rsid w:val="00877119"/>
    <w:rsid w:val="00882CFE"/>
    <w:rsid w:val="008837B9"/>
    <w:rsid w:val="00883DAD"/>
    <w:rsid w:val="00893CC3"/>
    <w:rsid w:val="008B0255"/>
    <w:rsid w:val="00912CD2"/>
    <w:rsid w:val="0091547C"/>
    <w:rsid w:val="00917D1E"/>
    <w:rsid w:val="009207DD"/>
    <w:rsid w:val="00923BC2"/>
    <w:rsid w:val="009261B3"/>
    <w:rsid w:val="00940E41"/>
    <w:rsid w:val="00945767"/>
    <w:rsid w:val="00971094"/>
    <w:rsid w:val="00976051"/>
    <w:rsid w:val="0098299E"/>
    <w:rsid w:val="00991FBE"/>
    <w:rsid w:val="009969EE"/>
    <w:rsid w:val="009C7CDC"/>
    <w:rsid w:val="009D0649"/>
    <w:rsid w:val="009D4FDB"/>
    <w:rsid w:val="009E5A97"/>
    <w:rsid w:val="009F3AE8"/>
    <w:rsid w:val="009F699D"/>
    <w:rsid w:val="00A13E81"/>
    <w:rsid w:val="00A1592E"/>
    <w:rsid w:val="00A30124"/>
    <w:rsid w:val="00A3041D"/>
    <w:rsid w:val="00A30D86"/>
    <w:rsid w:val="00A33A9A"/>
    <w:rsid w:val="00A370D6"/>
    <w:rsid w:val="00A4102E"/>
    <w:rsid w:val="00A43A6A"/>
    <w:rsid w:val="00A503EB"/>
    <w:rsid w:val="00A56504"/>
    <w:rsid w:val="00A64562"/>
    <w:rsid w:val="00A74520"/>
    <w:rsid w:val="00A75C93"/>
    <w:rsid w:val="00A86CE8"/>
    <w:rsid w:val="00A92307"/>
    <w:rsid w:val="00A9233E"/>
    <w:rsid w:val="00AA069B"/>
    <w:rsid w:val="00AA5C91"/>
    <w:rsid w:val="00AB673B"/>
    <w:rsid w:val="00AD60A5"/>
    <w:rsid w:val="00AF588D"/>
    <w:rsid w:val="00B02610"/>
    <w:rsid w:val="00B23FF0"/>
    <w:rsid w:val="00B25E5C"/>
    <w:rsid w:val="00B31529"/>
    <w:rsid w:val="00B43794"/>
    <w:rsid w:val="00B52D5A"/>
    <w:rsid w:val="00B67858"/>
    <w:rsid w:val="00B67A28"/>
    <w:rsid w:val="00B72864"/>
    <w:rsid w:val="00B7444F"/>
    <w:rsid w:val="00B75AA3"/>
    <w:rsid w:val="00B769FE"/>
    <w:rsid w:val="00B82072"/>
    <w:rsid w:val="00B82BC9"/>
    <w:rsid w:val="00B835E1"/>
    <w:rsid w:val="00B90C75"/>
    <w:rsid w:val="00B94B9D"/>
    <w:rsid w:val="00BA198D"/>
    <w:rsid w:val="00BA7270"/>
    <w:rsid w:val="00BA7485"/>
    <w:rsid w:val="00BA7B65"/>
    <w:rsid w:val="00BC12BD"/>
    <w:rsid w:val="00BC1514"/>
    <w:rsid w:val="00BD00B3"/>
    <w:rsid w:val="00BD278F"/>
    <w:rsid w:val="00BE03B5"/>
    <w:rsid w:val="00BF0F31"/>
    <w:rsid w:val="00BF1C66"/>
    <w:rsid w:val="00BF39BB"/>
    <w:rsid w:val="00C03D49"/>
    <w:rsid w:val="00C12762"/>
    <w:rsid w:val="00C2222F"/>
    <w:rsid w:val="00C25530"/>
    <w:rsid w:val="00C43DBF"/>
    <w:rsid w:val="00C47A88"/>
    <w:rsid w:val="00C50CBB"/>
    <w:rsid w:val="00C60E66"/>
    <w:rsid w:val="00C90AE0"/>
    <w:rsid w:val="00C90C2E"/>
    <w:rsid w:val="00C96849"/>
    <w:rsid w:val="00CC1DD0"/>
    <w:rsid w:val="00CC5AC8"/>
    <w:rsid w:val="00CC7552"/>
    <w:rsid w:val="00CD2CD7"/>
    <w:rsid w:val="00CE297F"/>
    <w:rsid w:val="00CE499A"/>
    <w:rsid w:val="00D03BE0"/>
    <w:rsid w:val="00D1377E"/>
    <w:rsid w:val="00D263E9"/>
    <w:rsid w:val="00D3393A"/>
    <w:rsid w:val="00D34E68"/>
    <w:rsid w:val="00D523B0"/>
    <w:rsid w:val="00D54BF7"/>
    <w:rsid w:val="00D70F11"/>
    <w:rsid w:val="00D71DF1"/>
    <w:rsid w:val="00D744B9"/>
    <w:rsid w:val="00D77323"/>
    <w:rsid w:val="00D8194F"/>
    <w:rsid w:val="00D85E64"/>
    <w:rsid w:val="00D97EDA"/>
    <w:rsid w:val="00DA0B19"/>
    <w:rsid w:val="00DC2D67"/>
    <w:rsid w:val="00DC76CE"/>
    <w:rsid w:val="00DD3DFE"/>
    <w:rsid w:val="00DE3354"/>
    <w:rsid w:val="00DE629B"/>
    <w:rsid w:val="00DF1289"/>
    <w:rsid w:val="00DF2FD9"/>
    <w:rsid w:val="00E02D48"/>
    <w:rsid w:val="00E15176"/>
    <w:rsid w:val="00E16766"/>
    <w:rsid w:val="00E17DBC"/>
    <w:rsid w:val="00E24785"/>
    <w:rsid w:val="00E30641"/>
    <w:rsid w:val="00E3770F"/>
    <w:rsid w:val="00E40878"/>
    <w:rsid w:val="00E43789"/>
    <w:rsid w:val="00E61CDE"/>
    <w:rsid w:val="00E70BFA"/>
    <w:rsid w:val="00E7508E"/>
    <w:rsid w:val="00E759A4"/>
    <w:rsid w:val="00E8718B"/>
    <w:rsid w:val="00E87754"/>
    <w:rsid w:val="00EA2D8C"/>
    <w:rsid w:val="00EA5C21"/>
    <w:rsid w:val="00EC02E4"/>
    <w:rsid w:val="00EC5FFB"/>
    <w:rsid w:val="00EE5B4A"/>
    <w:rsid w:val="00EF1E02"/>
    <w:rsid w:val="00EF3208"/>
    <w:rsid w:val="00EF420A"/>
    <w:rsid w:val="00EF611E"/>
    <w:rsid w:val="00F12A0E"/>
    <w:rsid w:val="00F43052"/>
    <w:rsid w:val="00F456F5"/>
    <w:rsid w:val="00F60F76"/>
    <w:rsid w:val="00F668DD"/>
    <w:rsid w:val="00F675BC"/>
    <w:rsid w:val="00F83360"/>
    <w:rsid w:val="00F86102"/>
    <w:rsid w:val="00F96D92"/>
    <w:rsid w:val="00F96E8B"/>
    <w:rsid w:val="00FC01EE"/>
    <w:rsid w:val="00FC28DD"/>
    <w:rsid w:val="00FC4755"/>
    <w:rsid w:val="00FD3954"/>
    <w:rsid w:val="00FF122A"/>
    <w:rsid w:val="00FF6D6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388D3"/>
  <w15:docId w15:val="{4EDC21ED-C4FD-4177-9F9D-0F0452AC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AC8"/>
    <w:pPr>
      <w:spacing w:before="120" w:after="120" w:line="360" w:lineRule="auto"/>
      <w:ind w:firstLine="85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4E68"/>
    <w:pPr>
      <w:tabs>
        <w:tab w:val="center" w:pos="4536"/>
        <w:tab w:val="right" w:pos="9072"/>
      </w:tabs>
    </w:pPr>
  </w:style>
  <w:style w:type="paragraph" w:styleId="Footer">
    <w:name w:val="footer"/>
    <w:basedOn w:val="Normal"/>
    <w:link w:val="FooterChar"/>
    <w:uiPriority w:val="99"/>
    <w:rsid w:val="00D34E68"/>
    <w:pPr>
      <w:tabs>
        <w:tab w:val="center" w:pos="4536"/>
        <w:tab w:val="right" w:pos="9072"/>
      </w:tabs>
    </w:pPr>
  </w:style>
  <w:style w:type="character" w:styleId="Hyperlink">
    <w:name w:val="Hyperlink"/>
    <w:rsid w:val="0008513C"/>
    <w:rPr>
      <w:color w:val="0000FF"/>
      <w:u w:val="single"/>
    </w:rPr>
  </w:style>
  <w:style w:type="character" w:styleId="PageNumber">
    <w:name w:val="page number"/>
    <w:basedOn w:val="DefaultParagraphFont"/>
    <w:rsid w:val="006E4577"/>
  </w:style>
  <w:style w:type="character" w:customStyle="1" w:styleId="HeaderChar">
    <w:name w:val="Header Char"/>
    <w:link w:val="Header"/>
    <w:rsid w:val="00B7444F"/>
    <w:rPr>
      <w:sz w:val="24"/>
      <w:szCs w:val="24"/>
    </w:rPr>
  </w:style>
  <w:style w:type="paragraph" w:styleId="ListParagraph">
    <w:name w:val="List Paragraph"/>
    <w:basedOn w:val="Normal"/>
    <w:uiPriority w:val="34"/>
    <w:qFormat/>
    <w:rsid w:val="00C90AE0"/>
    <w:pPr>
      <w:spacing w:after="200" w:line="276" w:lineRule="auto"/>
      <w:ind w:left="720"/>
      <w:contextualSpacing/>
    </w:pPr>
    <w:rPr>
      <w:rFonts w:ascii="Calibri" w:eastAsia="Calibri" w:hAnsi="Calibri"/>
      <w:sz w:val="22"/>
      <w:szCs w:val="22"/>
      <w:lang w:eastAsia="en-US"/>
    </w:rPr>
  </w:style>
  <w:style w:type="table" w:styleId="TableGrid">
    <w:name w:val="Table Grid"/>
    <w:basedOn w:val="TableNormal"/>
    <w:rsid w:val="009F6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120D09"/>
    <w:rPr>
      <w:sz w:val="24"/>
      <w:szCs w:val="24"/>
    </w:rPr>
  </w:style>
  <w:style w:type="paragraph" w:styleId="BalloonText">
    <w:name w:val="Balloon Text"/>
    <w:basedOn w:val="Normal"/>
    <w:link w:val="BalloonTextChar"/>
    <w:semiHidden/>
    <w:unhideWhenUsed/>
    <w:rsid w:val="00F12A0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12A0E"/>
    <w:rPr>
      <w:rFonts w:ascii="Segoe UI" w:hAnsi="Segoe UI" w:cs="Segoe UI"/>
      <w:sz w:val="18"/>
      <w:szCs w:val="18"/>
    </w:rPr>
  </w:style>
  <w:style w:type="character" w:styleId="FollowedHyperlink">
    <w:name w:val="FollowedHyperlink"/>
    <w:basedOn w:val="DefaultParagraphFont"/>
    <w:semiHidden/>
    <w:unhideWhenUsed/>
    <w:rsid w:val="0038583F"/>
    <w:rPr>
      <w:color w:val="800080" w:themeColor="followedHyperlink"/>
      <w:u w:val="single"/>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qFormat/>
    <w:rsid w:val="00A33A9A"/>
    <w:pPr>
      <w:spacing w:before="0" w:after="0" w:line="240" w:lineRule="auto"/>
      <w:ind w:firstLine="0"/>
    </w:pPr>
    <w:rPr>
      <w:rFonts w:ascii="Calibri" w:eastAsia="Calibri" w:hAnsi="Calibri"/>
      <w:sz w:val="20"/>
      <w:szCs w:val="20"/>
      <w:lang w:eastAsia="en-US"/>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A33A9A"/>
    <w:rPr>
      <w:rFonts w:ascii="Calibri" w:eastAsia="Calibri" w:hAnsi="Calibri"/>
      <w:lang w:eastAsia="en-US"/>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uiPriority w:val="99"/>
    <w:qFormat/>
    <w:rsid w:val="00A33A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754730">
      <w:bodyDiv w:val="1"/>
      <w:marLeft w:val="0"/>
      <w:marRight w:val="0"/>
      <w:marTop w:val="0"/>
      <w:marBottom w:val="0"/>
      <w:divBdr>
        <w:top w:val="none" w:sz="0" w:space="0" w:color="auto"/>
        <w:left w:val="none" w:sz="0" w:space="0" w:color="auto"/>
        <w:bottom w:val="none" w:sz="0" w:space="0" w:color="auto"/>
        <w:right w:val="none" w:sz="0" w:space="0" w:color="auto"/>
      </w:divBdr>
    </w:div>
    <w:div w:id="1159073532">
      <w:bodyDiv w:val="1"/>
      <w:marLeft w:val="0"/>
      <w:marRight w:val="0"/>
      <w:marTop w:val="0"/>
      <w:marBottom w:val="0"/>
      <w:divBdr>
        <w:top w:val="none" w:sz="0" w:space="0" w:color="auto"/>
        <w:left w:val="none" w:sz="0" w:space="0" w:color="auto"/>
        <w:bottom w:val="none" w:sz="0" w:space="0" w:color="auto"/>
        <w:right w:val="none" w:sz="0" w:space="0" w:color="auto"/>
      </w:divBdr>
    </w:div>
    <w:div w:id="1453548836">
      <w:bodyDiv w:val="1"/>
      <w:marLeft w:val="0"/>
      <w:marRight w:val="0"/>
      <w:marTop w:val="0"/>
      <w:marBottom w:val="0"/>
      <w:divBdr>
        <w:top w:val="none" w:sz="0" w:space="0" w:color="auto"/>
        <w:left w:val="none" w:sz="0" w:space="0" w:color="auto"/>
        <w:bottom w:val="none" w:sz="0" w:space="0" w:color="auto"/>
        <w:right w:val="none" w:sz="0" w:space="0" w:color="auto"/>
      </w:divBdr>
    </w:div>
    <w:div w:id="1587610423">
      <w:bodyDiv w:val="1"/>
      <w:marLeft w:val="0"/>
      <w:marRight w:val="0"/>
      <w:marTop w:val="0"/>
      <w:marBottom w:val="0"/>
      <w:divBdr>
        <w:top w:val="none" w:sz="0" w:space="0" w:color="auto"/>
        <w:left w:val="none" w:sz="0" w:space="0" w:color="auto"/>
        <w:bottom w:val="none" w:sz="0" w:space="0" w:color="auto"/>
        <w:right w:val="none" w:sz="0" w:space="0" w:color="auto"/>
      </w:divBdr>
    </w:div>
    <w:div w:id="1661814549">
      <w:bodyDiv w:val="1"/>
      <w:marLeft w:val="0"/>
      <w:marRight w:val="0"/>
      <w:marTop w:val="0"/>
      <w:marBottom w:val="0"/>
      <w:divBdr>
        <w:top w:val="none" w:sz="0" w:space="0" w:color="auto"/>
        <w:left w:val="none" w:sz="0" w:space="0" w:color="auto"/>
        <w:bottom w:val="none" w:sz="0" w:space="0" w:color="auto"/>
        <w:right w:val="none" w:sz="0" w:space="0" w:color="auto"/>
      </w:divBdr>
    </w:div>
    <w:div w:id="17865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gregio.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funds.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is2020.government.bg/log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mrrb.government.b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ovskaS\AppData\Local\Microsoft\Windows\Temporary%20Internet%20Files\IE\52ZI9XZW\12D3_zapov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92F14-8DCC-4B65-B549-567A7984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12D3_zapoved.dotx</Template>
  <TotalTime>157</TotalTime>
  <Pages>8</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Uiou0poiuop</vt:lpstr>
    </vt:vector>
  </TitlesOfParts>
  <Company/>
  <LinksUpToDate>false</LinksUpToDate>
  <CharactersWithSpaces>15063</CharactersWithSpaces>
  <SharedDoc>false</SharedDoc>
  <HLinks>
    <vt:vector size="6" baseType="variant">
      <vt:variant>
        <vt:i4>2228329</vt:i4>
      </vt:variant>
      <vt:variant>
        <vt:i4>0</vt:i4>
      </vt:variant>
      <vt:variant>
        <vt:i4>0</vt:i4>
      </vt:variant>
      <vt:variant>
        <vt:i4>5</vt:i4>
      </vt:variant>
      <vt:variant>
        <vt:lpwstr>http://www.mrrb.government.bg/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Uiou0poiuop</dc:title>
  <dc:creator>Савина</dc:creator>
  <cp:lastModifiedBy>KETI STOYANOVA KARACHOLOVA</cp:lastModifiedBy>
  <cp:revision>60</cp:revision>
  <cp:lastPrinted>2018-08-21T12:42:00Z</cp:lastPrinted>
  <dcterms:created xsi:type="dcterms:W3CDTF">2024-11-07T14:21:00Z</dcterms:created>
  <dcterms:modified xsi:type="dcterms:W3CDTF">2026-03-25T14:25:00Z</dcterms:modified>
</cp:coreProperties>
</file>